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2D36" w14:textId="572114D8" w:rsidR="00984077" w:rsidRPr="0032377E" w:rsidRDefault="00114D74" w:rsidP="00C826EF">
      <w:pPr>
        <w:spacing w:line="480" w:lineRule="auto"/>
        <w:jc w:val="center"/>
        <w:rPr>
          <w:rFonts w:ascii="Times New Roman" w:hAnsi="Times New Roman" w:cs="Times New Roman"/>
          <w:b/>
          <w:bCs/>
          <w:sz w:val="24"/>
          <w:szCs w:val="24"/>
        </w:rPr>
      </w:pPr>
      <w:r w:rsidRPr="0032377E">
        <w:rPr>
          <w:rFonts w:ascii="Times New Roman" w:hAnsi="Times New Roman" w:cs="Times New Roman"/>
          <w:b/>
          <w:bCs/>
          <w:sz w:val="24"/>
          <w:szCs w:val="24"/>
        </w:rPr>
        <w:t>A</w:t>
      </w:r>
      <w:r w:rsidR="00BE376D" w:rsidRPr="0032377E">
        <w:rPr>
          <w:rFonts w:ascii="Times New Roman" w:hAnsi="Times New Roman" w:cs="Times New Roman"/>
          <w:b/>
          <w:bCs/>
          <w:sz w:val="24"/>
          <w:szCs w:val="24"/>
        </w:rPr>
        <w:t>péndice</w:t>
      </w:r>
      <w:r w:rsidRPr="0032377E">
        <w:rPr>
          <w:rFonts w:ascii="Times New Roman" w:hAnsi="Times New Roman" w:cs="Times New Roman"/>
          <w:b/>
          <w:bCs/>
          <w:sz w:val="24"/>
          <w:szCs w:val="24"/>
        </w:rPr>
        <w:t xml:space="preserve"> </w:t>
      </w:r>
      <w:r w:rsidR="00A1500A">
        <w:rPr>
          <w:rFonts w:ascii="Times New Roman" w:hAnsi="Times New Roman" w:cs="Times New Roman"/>
          <w:b/>
          <w:bCs/>
          <w:sz w:val="24"/>
          <w:szCs w:val="24"/>
        </w:rPr>
        <w:t>B</w:t>
      </w:r>
      <w:r w:rsidRPr="0032377E">
        <w:rPr>
          <w:rFonts w:ascii="Times New Roman" w:hAnsi="Times New Roman" w:cs="Times New Roman"/>
          <w:b/>
          <w:bCs/>
          <w:sz w:val="24"/>
          <w:szCs w:val="24"/>
        </w:rPr>
        <w:t xml:space="preserve">. </w:t>
      </w:r>
      <w:r w:rsidR="00A1500A">
        <w:rPr>
          <w:rFonts w:ascii="Times New Roman" w:hAnsi="Times New Roman" w:cs="Times New Roman"/>
          <w:b/>
          <w:bCs/>
          <w:sz w:val="24"/>
          <w:szCs w:val="24"/>
        </w:rPr>
        <w:t>Fundamentos teóricos y conceptuales para el análisis de la transferencia tecnológica</w:t>
      </w:r>
    </w:p>
    <w:p w14:paraId="6349DC0B" w14:textId="77777777" w:rsidR="00654CCB" w:rsidRPr="0032377E" w:rsidRDefault="00654CCB" w:rsidP="00C826EF">
      <w:pPr>
        <w:spacing w:line="480" w:lineRule="auto"/>
        <w:rPr>
          <w:rFonts w:ascii="Times New Roman" w:hAnsi="Times New Roman" w:cs="Times New Roman"/>
          <w:sz w:val="24"/>
          <w:szCs w:val="24"/>
          <w:lang w:val="es-ES"/>
        </w:rPr>
      </w:pPr>
    </w:p>
    <w:sdt>
      <w:sdtPr>
        <w:rPr>
          <w:rFonts w:ascii="Times New Roman" w:eastAsiaTheme="minorHAnsi" w:hAnsi="Times New Roman" w:cs="Times New Roman"/>
          <w:color w:val="auto"/>
          <w:sz w:val="24"/>
          <w:szCs w:val="24"/>
          <w:lang w:val="es-ES" w:eastAsia="en-US"/>
        </w:rPr>
        <w:id w:val="-1390870161"/>
        <w:docPartObj>
          <w:docPartGallery w:val="Table of Contents"/>
          <w:docPartUnique/>
        </w:docPartObj>
      </w:sdtPr>
      <w:sdtEndPr>
        <w:rPr>
          <w:b/>
          <w:bCs/>
        </w:rPr>
      </w:sdtEndPr>
      <w:sdtContent>
        <w:p w14:paraId="429579C7" w14:textId="6E13F699" w:rsidR="00E438BC" w:rsidRDefault="00E17264" w:rsidP="00E17264">
          <w:pPr>
            <w:pStyle w:val="TtuloTDC"/>
            <w:spacing w:line="480" w:lineRule="auto"/>
            <w:jc w:val="center"/>
            <w:rPr>
              <w:rFonts w:ascii="Times New Roman" w:hAnsi="Times New Roman" w:cs="Times New Roman"/>
              <w:b/>
              <w:bCs/>
              <w:color w:val="auto"/>
              <w:sz w:val="24"/>
              <w:szCs w:val="24"/>
              <w:lang w:val="es-ES"/>
            </w:rPr>
          </w:pPr>
          <w:r w:rsidRPr="00E17264">
            <w:rPr>
              <w:rFonts w:ascii="Times New Roman" w:eastAsiaTheme="minorHAnsi" w:hAnsi="Times New Roman" w:cs="Times New Roman"/>
              <w:b/>
              <w:bCs/>
              <w:color w:val="auto"/>
              <w:sz w:val="24"/>
              <w:szCs w:val="24"/>
              <w:lang w:val="es-ES" w:eastAsia="en-US"/>
            </w:rPr>
            <w:t xml:space="preserve">Tabla de </w:t>
          </w:r>
          <w:r w:rsidR="00E438BC" w:rsidRPr="00E17264">
            <w:rPr>
              <w:rFonts w:ascii="Times New Roman" w:hAnsi="Times New Roman" w:cs="Times New Roman"/>
              <w:b/>
              <w:bCs/>
              <w:color w:val="auto"/>
              <w:sz w:val="24"/>
              <w:szCs w:val="24"/>
              <w:lang w:val="es-ES"/>
            </w:rPr>
            <w:t>Contenido</w:t>
          </w:r>
        </w:p>
        <w:p w14:paraId="7EB7F9E0" w14:textId="77777777" w:rsidR="00E17264" w:rsidRPr="00E17264" w:rsidRDefault="00E17264" w:rsidP="00E17264">
          <w:pPr>
            <w:rPr>
              <w:lang w:val="es-ES" w:eastAsia="es-CO"/>
            </w:rPr>
          </w:pPr>
        </w:p>
        <w:p w14:paraId="7DC074D5" w14:textId="3D44CC4F" w:rsidR="0032377E" w:rsidRPr="0032377E" w:rsidRDefault="00E438BC" w:rsidP="00E17264">
          <w:pPr>
            <w:pStyle w:val="TDC1"/>
            <w:tabs>
              <w:tab w:val="left" w:pos="440"/>
              <w:tab w:val="right" w:leader="dot" w:pos="9508"/>
            </w:tabs>
            <w:spacing w:line="480" w:lineRule="auto"/>
            <w:rPr>
              <w:rFonts w:ascii="Times New Roman" w:eastAsiaTheme="minorEastAsia" w:hAnsi="Times New Roman" w:cs="Times New Roman"/>
              <w:noProof/>
              <w:sz w:val="24"/>
              <w:szCs w:val="24"/>
              <w:lang w:val="en-US"/>
            </w:rPr>
          </w:pPr>
          <w:r w:rsidRPr="0032377E">
            <w:rPr>
              <w:rFonts w:ascii="Times New Roman" w:hAnsi="Times New Roman" w:cs="Times New Roman"/>
              <w:sz w:val="24"/>
              <w:szCs w:val="24"/>
            </w:rPr>
            <w:fldChar w:fldCharType="begin"/>
          </w:r>
          <w:r w:rsidRPr="0032377E">
            <w:rPr>
              <w:rFonts w:ascii="Times New Roman" w:hAnsi="Times New Roman" w:cs="Times New Roman"/>
              <w:sz w:val="24"/>
              <w:szCs w:val="24"/>
            </w:rPr>
            <w:instrText xml:space="preserve"> TOC \o "1-3" \h \z \u </w:instrText>
          </w:r>
          <w:r w:rsidRPr="0032377E">
            <w:rPr>
              <w:rFonts w:ascii="Times New Roman" w:hAnsi="Times New Roman" w:cs="Times New Roman"/>
              <w:sz w:val="24"/>
              <w:szCs w:val="24"/>
            </w:rPr>
            <w:fldChar w:fldCharType="separate"/>
          </w:r>
          <w:hyperlink w:anchor="_Toc190621945" w:history="1">
            <w:r w:rsidR="0032377E" w:rsidRPr="0032377E">
              <w:rPr>
                <w:rStyle w:val="Hipervnculo"/>
                <w:rFonts w:ascii="Times New Roman" w:hAnsi="Times New Roman" w:cs="Times New Roman"/>
                <w:noProof/>
                <w:sz w:val="24"/>
                <w:szCs w:val="24"/>
              </w:rPr>
              <w:t>1.</w:t>
            </w:r>
            <w:r w:rsidR="0032377E" w:rsidRPr="0032377E">
              <w:rPr>
                <w:rFonts w:ascii="Times New Roman" w:eastAsiaTheme="minorEastAsia" w:hAnsi="Times New Roman" w:cs="Times New Roman"/>
                <w:noProof/>
                <w:sz w:val="24"/>
                <w:szCs w:val="24"/>
                <w:lang w:val="en-US"/>
              </w:rPr>
              <w:tab/>
            </w:r>
            <w:r w:rsidR="0032377E" w:rsidRPr="0032377E">
              <w:rPr>
                <w:rStyle w:val="Hipervnculo"/>
                <w:rFonts w:ascii="Times New Roman" w:hAnsi="Times New Roman" w:cs="Times New Roman"/>
                <w:noProof/>
                <w:sz w:val="24"/>
                <w:szCs w:val="24"/>
              </w:rPr>
              <w:t>Conceptualización del proceso de transferencia tecnológica</w:t>
            </w:r>
            <w:r w:rsidR="0032377E" w:rsidRPr="0032377E">
              <w:rPr>
                <w:rFonts w:ascii="Times New Roman" w:hAnsi="Times New Roman" w:cs="Times New Roman"/>
                <w:noProof/>
                <w:webHidden/>
                <w:sz w:val="24"/>
                <w:szCs w:val="24"/>
              </w:rPr>
              <w:tab/>
            </w:r>
            <w:r w:rsidR="0032377E" w:rsidRPr="0032377E">
              <w:rPr>
                <w:rFonts w:ascii="Times New Roman" w:hAnsi="Times New Roman" w:cs="Times New Roman"/>
                <w:noProof/>
                <w:webHidden/>
                <w:sz w:val="24"/>
                <w:szCs w:val="24"/>
              </w:rPr>
              <w:fldChar w:fldCharType="begin"/>
            </w:r>
            <w:r w:rsidR="0032377E" w:rsidRPr="0032377E">
              <w:rPr>
                <w:rFonts w:ascii="Times New Roman" w:hAnsi="Times New Roman" w:cs="Times New Roman"/>
                <w:noProof/>
                <w:webHidden/>
                <w:sz w:val="24"/>
                <w:szCs w:val="24"/>
              </w:rPr>
              <w:instrText xml:space="preserve"> PAGEREF _Toc190621945 \h </w:instrText>
            </w:r>
            <w:r w:rsidR="0032377E" w:rsidRPr="0032377E">
              <w:rPr>
                <w:rFonts w:ascii="Times New Roman" w:hAnsi="Times New Roman" w:cs="Times New Roman"/>
                <w:noProof/>
                <w:webHidden/>
                <w:sz w:val="24"/>
                <w:szCs w:val="24"/>
              </w:rPr>
            </w:r>
            <w:r w:rsidR="0032377E" w:rsidRPr="0032377E">
              <w:rPr>
                <w:rFonts w:ascii="Times New Roman" w:hAnsi="Times New Roman" w:cs="Times New Roman"/>
                <w:noProof/>
                <w:webHidden/>
                <w:sz w:val="24"/>
                <w:szCs w:val="24"/>
              </w:rPr>
              <w:fldChar w:fldCharType="separate"/>
            </w:r>
            <w:r w:rsidR="0032377E" w:rsidRPr="0032377E">
              <w:rPr>
                <w:rFonts w:ascii="Times New Roman" w:hAnsi="Times New Roman" w:cs="Times New Roman"/>
                <w:noProof/>
                <w:webHidden/>
                <w:sz w:val="24"/>
                <w:szCs w:val="24"/>
              </w:rPr>
              <w:t>1</w:t>
            </w:r>
            <w:r w:rsidR="0032377E" w:rsidRPr="0032377E">
              <w:rPr>
                <w:rFonts w:ascii="Times New Roman" w:hAnsi="Times New Roman" w:cs="Times New Roman"/>
                <w:noProof/>
                <w:webHidden/>
                <w:sz w:val="24"/>
                <w:szCs w:val="24"/>
              </w:rPr>
              <w:fldChar w:fldCharType="end"/>
            </w:r>
          </w:hyperlink>
        </w:p>
        <w:p w14:paraId="5B4EFEDF" w14:textId="305D6B5F" w:rsidR="0032377E" w:rsidRPr="0032377E" w:rsidRDefault="009E1CE0" w:rsidP="00E17264">
          <w:pPr>
            <w:pStyle w:val="TDC1"/>
            <w:tabs>
              <w:tab w:val="left" w:pos="440"/>
              <w:tab w:val="right" w:leader="dot" w:pos="9508"/>
            </w:tabs>
            <w:spacing w:line="480" w:lineRule="auto"/>
            <w:rPr>
              <w:rFonts w:ascii="Times New Roman" w:eastAsiaTheme="minorEastAsia" w:hAnsi="Times New Roman" w:cs="Times New Roman"/>
              <w:noProof/>
              <w:sz w:val="24"/>
              <w:szCs w:val="24"/>
              <w:lang w:val="en-US"/>
            </w:rPr>
          </w:pPr>
          <w:hyperlink w:anchor="_Toc190621946" w:history="1">
            <w:r w:rsidR="0032377E" w:rsidRPr="0032377E">
              <w:rPr>
                <w:rStyle w:val="Hipervnculo"/>
                <w:rFonts w:ascii="Times New Roman" w:hAnsi="Times New Roman" w:cs="Times New Roman"/>
                <w:noProof/>
                <w:sz w:val="24"/>
                <w:szCs w:val="24"/>
              </w:rPr>
              <w:t>2.</w:t>
            </w:r>
            <w:r w:rsidR="0032377E" w:rsidRPr="0032377E">
              <w:rPr>
                <w:rFonts w:ascii="Times New Roman" w:eastAsiaTheme="minorEastAsia" w:hAnsi="Times New Roman" w:cs="Times New Roman"/>
                <w:noProof/>
                <w:sz w:val="24"/>
                <w:szCs w:val="24"/>
                <w:lang w:val="en-US"/>
              </w:rPr>
              <w:tab/>
            </w:r>
            <w:r w:rsidR="0032377E" w:rsidRPr="0032377E">
              <w:rPr>
                <w:rStyle w:val="Hipervnculo"/>
                <w:rFonts w:ascii="Times New Roman" w:hAnsi="Times New Roman" w:cs="Times New Roman"/>
                <w:noProof/>
                <w:sz w:val="24"/>
                <w:szCs w:val="24"/>
              </w:rPr>
              <w:t>Etapas del Proceso de Transferencia Tecnológica</w:t>
            </w:r>
            <w:r w:rsidR="0032377E" w:rsidRPr="0032377E">
              <w:rPr>
                <w:rFonts w:ascii="Times New Roman" w:hAnsi="Times New Roman" w:cs="Times New Roman"/>
                <w:noProof/>
                <w:webHidden/>
                <w:sz w:val="24"/>
                <w:szCs w:val="24"/>
              </w:rPr>
              <w:tab/>
            </w:r>
            <w:r w:rsidR="0032377E" w:rsidRPr="0032377E">
              <w:rPr>
                <w:rFonts w:ascii="Times New Roman" w:hAnsi="Times New Roman" w:cs="Times New Roman"/>
                <w:noProof/>
                <w:webHidden/>
                <w:sz w:val="24"/>
                <w:szCs w:val="24"/>
              </w:rPr>
              <w:fldChar w:fldCharType="begin"/>
            </w:r>
            <w:r w:rsidR="0032377E" w:rsidRPr="0032377E">
              <w:rPr>
                <w:rFonts w:ascii="Times New Roman" w:hAnsi="Times New Roman" w:cs="Times New Roman"/>
                <w:noProof/>
                <w:webHidden/>
                <w:sz w:val="24"/>
                <w:szCs w:val="24"/>
              </w:rPr>
              <w:instrText xml:space="preserve"> PAGEREF _Toc190621946 \h </w:instrText>
            </w:r>
            <w:r w:rsidR="0032377E" w:rsidRPr="0032377E">
              <w:rPr>
                <w:rFonts w:ascii="Times New Roman" w:hAnsi="Times New Roman" w:cs="Times New Roman"/>
                <w:noProof/>
                <w:webHidden/>
                <w:sz w:val="24"/>
                <w:szCs w:val="24"/>
              </w:rPr>
            </w:r>
            <w:r w:rsidR="0032377E" w:rsidRPr="0032377E">
              <w:rPr>
                <w:rFonts w:ascii="Times New Roman" w:hAnsi="Times New Roman" w:cs="Times New Roman"/>
                <w:noProof/>
                <w:webHidden/>
                <w:sz w:val="24"/>
                <w:szCs w:val="24"/>
              </w:rPr>
              <w:fldChar w:fldCharType="separate"/>
            </w:r>
            <w:r w:rsidR="0032377E" w:rsidRPr="0032377E">
              <w:rPr>
                <w:rFonts w:ascii="Times New Roman" w:hAnsi="Times New Roman" w:cs="Times New Roman"/>
                <w:noProof/>
                <w:webHidden/>
                <w:sz w:val="24"/>
                <w:szCs w:val="24"/>
              </w:rPr>
              <w:t>3</w:t>
            </w:r>
            <w:r w:rsidR="0032377E" w:rsidRPr="0032377E">
              <w:rPr>
                <w:rFonts w:ascii="Times New Roman" w:hAnsi="Times New Roman" w:cs="Times New Roman"/>
                <w:noProof/>
                <w:webHidden/>
                <w:sz w:val="24"/>
                <w:szCs w:val="24"/>
              </w:rPr>
              <w:fldChar w:fldCharType="end"/>
            </w:r>
          </w:hyperlink>
        </w:p>
        <w:p w14:paraId="009495A5" w14:textId="54AFD245" w:rsidR="0032377E" w:rsidRPr="0032377E" w:rsidRDefault="009E1CE0" w:rsidP="00E17264">
          <w:pPr>
            <w:pStyle w:val="TDC1"/>
            <w:tabs>
              <w:tab w:val="left" w:pos="440"/>
              <w:tab w:val="right" w:leader="dot" w:pos="9508"/>
            </w:tabs>
            <w:spacing w:line="480" w:lineRule="auto"/>
            <w:rPr>
              <w:rFonts w:ascii="Times New Roman" w:eastAsiaTheme="minorEastAsia" w:hAnsi="Times New Roman" w:cs="Times New Roman"/>
              <w:noProof/>
              <w:sz w:val="24"/>
              <w:szCs w:val="24"/>
              <w:lang w:val="en-US"/>
            </w:rPr>
          </w:pPr>
          <w:hyperlink w:anchor="_Toc190621947" w:history="1">
            <w:r w:rsidR="0032377E" w:rsidRPr="0032377E">
              <w:rPr>
                <w:rStyle w:val="Hipervnculo"/>
                <w:rFonts w:ascii="Times New Roman" w:hAnsi="Times New Roman" w:cs="Times New Roman"/>
                <w:noProof/>
                <w:sz w:val="24"/>
                <w:szCs w:val="24"/>
              </w:rPr>
              <w:t>3.</w:t>
            </w:r>
            <w:r w:rsidR="0032377E" w:rsidRPr="0032377E">
              <w:rPr>
                <w:rFonts w:ascii="Times New Roman" w:eastAsiaTheme="minorEastAsia" w:hAnsi="Times New Roman" w:cs="Times New Roman"/>
                <w:noProof/>
                <w:sz w:val="24"/>
                <w:szCs w:val="24"/>
                <w:lang w:val="en-US"/>
              </w:rPr>
              <w:tab/>
            </w:r>
            <w:r w:rsidR="0032377E" w:rsidRPr="0032377E">
              <w:rPr>
                <w:rStyle w:val="Hipervnculo"/>
                <w:rFonts w:ascii="Times New Roman" w:hAnsi="Times New Roman" w:cs="Times New Roman"/>
                <w:noProof/>
                <w:sz w:val="24"/>
                <w:szCs w:val="24"/>
              </w:rPr>
              <w:t>Acuerdos de colaboración de Transferencia Tecnológica</w:t>
            </w:r>
            <w:r w:rsidR="0032377E" w:rsidRPr="0032377E">
              <w:rPr>
                <w:rFonts w:ascii="Times New Roman" w:hAnsi="Times New Roman" w:cs="Times New Roman"/>
                <w:noProof/>
                <w:webHidden/>
                <w:sz w:val="24"/>
                <w:szCs w:val="24"/>
              </w:rPr>
              <w:tab/>
            </w:r>
            <w:r w:rsidR="0032377E" w:rsidRPr="0032377E">
              <w:rPr>
                <w:rFonts w:ascii="Times New Roman" w:hAnsi="Times New Roman" w:cs="Times New Roman"/>
                <w:noProof/>
                <w:webHidden/>
                <w:sz w:val="24"/>
                <w:szCs w:val="24"/>
              </w:rPr>
              <w:fldChar w:fldCharType="begin"/>
            </w:r>
            <w:r w:rsidR="0032377E" w:rsidRPr="0032377E">
              <w:rPr>
                <w:rFonts w:ascii="Times New Roman" w:hAnsi="Times New Roman" w:cs="Times New Roman"/>
                <w:noProof/>
                <w:webHidden/>
                <w:sz w:val="24"/>
                <w:szCs w:val="24"/>
              </w:rPr>
              <w:instrText xml:space="preserve"> PAGEREF _Toc190621947 \h </w:instrText>
            </w:r>
            <w:r w:rsidR="0032377E" w:rsidRPr="0032377E">
              <w:rPr>
                <w:rFonts w:ascii="Times New Roman" w:hAnsi="Times New Roman" w:cs="Times New Roman"/>
                <w:noProof/>
                <w:webHidden/>
                <w:sz w:val="24"/>
                <w:szCs w:val="24"/>
              </w:rPr>
            </w:r>
            <w:r w:rsidR="0032377E" w:rsidRPr="0032377E">
              <w:rPr>
                <w:rFonts w:ascii="Times New Roman" w:hAnsi="Times New Roman" w:cs="Times New Roman"/>
                <w:noProof/>
                <w:webHidden/>
                <w:sz w:val="24"/>
                <w:szCs w:val="24"/>
              </w:rPr>
              <w:fldChar w:fldCharType="separate"/>
            </w:r>
            <w:r w:rsidR="0032377E" w:rsidRPr="0032377E">
              <w:rPr>
                <w:rFonts w:ascii="Times New Roman" w:hAnsi="Times New Roman" w:cs="Times New Roman"/>
                <w:noProof/>
                <w:webHidden/>
                <w:sz w:val="24"/>
                <w:szCs w:val="24"/>
              </w:rPr>
              <w:t>7</w:t>
            </w:r>
            <w:r w:rsidR="0032377E" w:rsidRPr="0032377E">
              <w:rPr>
                <w:rFonts w:ascii="Times New Roman" w:hAnsi="Times New Roman" w:cs="Times New Roman"/>
                <w:noProof/>
                <w:webHidden/>
                <w:sz w:val="24"/>
                <w:szCs w:val="24"/>
              </w:rPr>
              <w:fldChar w:fldCharType="end"/>
            </w:r>
          </w:hyperlink>
        </w:p>
        <w:p w14:paraId="5F3D8C3E" w14:textId="7087EECD" w:rsidR="0032377E" w:rsidRPr="0032377E" w:rsidRDefault="009E1CE0" w:rsidP="00E17264">
          <w:pPr>
            <w:pStyle w:val="TDC1"/>
            <w:tabs>
              <w:tab w:val="left" w:pos="440"/>
              <w:tab w:val="right" w:leader="dot" w:pos="9508"/>
            </w:tabs>
            <w:spacing w:line="480" w:lineRule="auto"/>
            <w:rPr>
              <w:rFonts w:ascii="Times New Roman" w:eastAsiaTheme="minorEastAsia" w:hAnsi="Times New Roman" w:cs="Times New Roman"/>
              <w:noProof/>
              <w:sz w:val="24"/>
              <w:szCs w:val="24"/>
              <w:lang w:val="en-US"/>
            </w:rPr>
          </w:pPr>
          <w:hyperlink w:anchor="_Toc190621948" w:history="1">
            <w:r w:rsidR="0032377E" w:rsidRPr="0032377E">
              <w:rPr>
                <w:rStyle w:val="Hipervnculo"/>
                <w:rFonts w:ascii="Times New Roman" w:hAnsi="Times New Roman" w:cs="Times New Roman"/>
                <w:noProof/>
                <w:sz w:val="24"/>
                <w:szCs w:val="24"/>
              </w:rPr>
              <w:t>4.</w:t>
            </w:r>
            <w:r w:rsidR="0032377E" w:rsidRPr="0032377E">
              <w:rPr>
                <w:rFonts w:ascii="Times New Roman" w:eastAsiaTheme="minorEastAsia" w:hAnsi="Times New Roman" w:cs="Times New Roman"/>
                <w:noProof/>
                <w:sz w:val="24"/>
                <w:szCs w:val="24"/>
                <w:lang w:val="en-US"/>
              </w:rPr>
              <w:tab/>
            </w:r>
            <w:r w:rsidR="0032377E" w:rsidRPr="0032377E">
              <w:rPr>
                <w:rStyle w:val="Hipervnculo"/>
                <w:rFonts w:ascii="Times New Roman" w:hAnsi="Times New Roman" w:cs="Times New Roman"/>
                <w:noProof/>
                <w:sz w:val="24"/>
                <w:szCs w:val="24"/>
              </w:rPr>
              <w:t>Principales barreras y brechas en la gestión y formalización de acuerdos de TT</w:t>
            </w:r>
            <w:r w:rsidR="0032377E" w:rsidRPr="0032377E">
              <w:rPr>
                <w:rFonts w:ascii="Times New Roman" w:hAnsi="Times New Roman" w:cs="Times New Roman"/>
                <w:noProof/>
                <w:webHidden/>
                <w:sz w:val="24"/>
                <w:szCs w:val="24"/>
              </w:rPr>
              <w:tab/>
            </w:r>
            <w:r w:rsidR="0032377E" w:rsidRPr="0032377E">
              <w:rPr>
                <w:rFonts w:ascii="Times New Roman" w:hAnsi="Times New Roman" w:cs="Times New Roman"/>
                <w:noProof/>
                <w:webHidden/>
                <w:sz w:val="24"/>
                <w:szCs w:val="24"/>
              </w:rPr>
              <w:fldChar w:fldCharType="begin"/>
            </w:r>
            <w:r w:rsidR="0032377E" w:rsidRPr="0032377E">
              <w:rPr>
                <w:rFonts w:ascii="Times New Roman" w:hAnsi="Times New Roman" w:cs="Times New Roman"/>
                <w:noProof/>
                <w:webHidden/>
                <w:sz w:val="24"/>
                <w:szCs w:val="24"/>
              </w:rPr>
              <w:instrText xml:space="preserve"> PAGEREF _Toc190621948 \h </w:instrText>
            </w:r>
            <w:r w:rsidR="0032377E" w:rsidRPr="0032377E">
              <w:rPr>
                <w:rFonts w:ascii="Times New Roman" w:hAnsi="Times New Roman" w:cs="Times New Roman"/>
                <w:noProof/>
                <w:webHidden/>
                <w:sz w:val="24"/>
                <w:szCs w:val="24"/>
              </w:rPr>
            </w:r>
            <w:r w:rsidR="0032377E" w:rsidRPr="0032377E">
              <w:rPr>
                <w:rFonts w:ascii="Times New Roman" w:hAnsi="Times New Roman" w:cs="Times New Roman"/>
                <w:noProof/>
                <w:webHidden/>
                <w:sz w:val="24"/>
                <w:szCs w:val="24"/>
              </w:rPr>
              <w:fldChar w:fldCharType="separate"/>
            </w:r>
            <w:r w:rsidR="0032377E" w:rsidRPr="0032377E">
              <w:rPr>
                <w:rFonts w:ascii="Times New Roman" w:hAnsi="Times New Roman" w:cs="Times New Roman"/>
                <w:noProof/>
                <w:webHidden/>
                <w:sz w:val="24"/>
                <w:szCs w:val="24"/>
              </w:rPr>
              <w:t>8</w:t>
            </w:r>
            <w:r w:rsidR="0032377E" w:rsidRPr="0032377E">
              <w:rPr>
                <w:rFonts w:ascii="Times New Roman" w:hAnsi="Times New Roman" w:cs="Times New Roman"/>
                <w:noProof/>
                <w:webHidden/>
                <w:sz w:val="24"/>
                <w:szCs w:val="24"/>
              </w:rPr>
              <w:fldChar w:fldCharType="end"/>
            </w:r>
          </w:hyperlink>
        </w:p>
        <w:p w14:paraId="573A144B" w14:textId="7CB17E2A" w:rsidR="0032377E" w:rsidRPr="0032377E" w:rsidRDefault="009E1CE0" w:rsidP="00E17264">
          <w:pPr>
            <w:pStyle w:val="TDC1"/>
            <w:tabs>
              <w:tab w:val="right" w:leader="dot" w:pos="9508"/>
            </w:tabs>
            <w:spacing w:line="480" w:lineRule="auto"/>
            <w:rPr>
              <w:rFonts w:ascii="Times New Roman" w:eastAsiaTheme="minorEastAsia" w:hAnsi="Times New Roman" w:cs="Times New Roman"/>
              <w:noProof/>
              <w:sz w:val="24"/>
              <w:szCs w:val="24"/>
              <w:lang w:val="en-US"/>
            </w:rPr>
          </w:pPr>
          <w:hyperlink w:anchor="_Toc190621949" w:history="1">
            <w:r w:rsidR="0032377E" w:rsidRPr="0032377E">
              <w:rPr>
                <w:rStyle w:val="Hipervnculo"/>
                <w:rFonts w:ascii="Times New Roman" w:hAnsi="Times New Roman" w:cs="Times New Roman"/>
                <w:noProof/>
                <w:sz w:val="24"/>
                <w:szCs w:val="24"/>
              </w:rPr>
              <w:t>Referencias Bibliográficas</w:t>
            </w:r>
            <w:r w:rsidR="0032377E" w:rsidRPr="0032377E">
              <w:rPr>
                <w:rFonts w:ascii="Times New Roman" w:hAnsi="Times New Roman" w:cs="Times New Roman"/>
                <w:noProof/>
                <w:webHidden/>
                <w:sz w:val="24"/>
                <w:szCs w:val="24"/>
              </w:rPr>
              <w:tab/>
            </w:r>
            <w:r w:rsidR="0032377E" w:rsidRPr="0032377E">
              <w:rPr>
                <w:rFonts w:ascii="Times New Roman" w:hAnsi="Times New Roman" w:cs="Times New Roman"/>
                <w:noProof/>
                <w:webHidden/>
                <w:sz w:val="24"/>
                <w:szCs w:val="24"/>
              </w:rPr>
              <w:fldChar w:fldCharType="begin"/>
            </w:r>
            <w:r w:rsidR="0032377E" w:rsidRPr="0032377E">
              <w:rPr>
                <w:rFonts w:ascii="Times New Roman" w:hAnsi="Times New Roman" w:cs="Times New Roman"/>
                <w:noProof/>
                <w:webHidden/>
                <w:sz w:val="24"/>
                <w:szCs w:val="24"/>
              </w:rPr>
              <w:instrText xml:space="preserve"> PAGEREF _Toc190621949 \h </w:instrText>
            </w:r>
            <w:r w:rsidR="0032377E" w:rsidRPr="0032377E">
              <w:rPr>
                <w:rFonts w:ascii="Times New Roman" w:hAnsi="Times New Roman" w:cs="Times New Roman"/>
                <w:noProof/>
                <w:webHidden/>
                <w:sz w:val="24"/>
                <w:szCs w:val="24"/>
              </w:rPr>
            </w:r>
            <w:r w:rsidR="0032377E" w:rsidRPr="0032377E">
              <w:rPr>
                <w:rFonts w:ascii="Times New Roman" w:hAnsi="Times New Roman" w:cs="Times New Roman"/>
                <w:noProof/>
                <w:webHidden/>
                <w:sz w:val="24"/>
                <w:szCs w:val="24"/>
              </w:rPr>
              <w:fldChar w:fldCharType="separate"/>
            </w:r>
            <w:r w:rsidR="0032377E" w:rsidRPr="0032377E">
              <w:rPr>
                <w:rFonts w:ascii="Times New Roman" w:hAnsi="Times New Roman" w:cs="Times New Roman"/>
                <w:noProof/>
                <w:webHidden/>
                <w:sz w:val="24"/>
                <w:szCs w:val="24"/>
              </w:rPr>
              <w:t>14</w:t>
            </w:r>
            <w:r w:rsidR="0032377E" w:rsidRPr="0032377E">
              <w:rPr>
                <w:rFonts w:ascii="Times New Roman" w:hAnsi="Times New Roman" w:cs="Times New Roman"/>
                <w:noProof/>
                <w:webHidden/>
                <w:sz w:val="24"/>
                <w:szCs w:val="24"/>
              </w:rPr>
              <w:fldChar w:fldCharType="end"/>
            </w:r>
          </w:hyperlink>
        </w:p>
        <w:p w14:paraId="7B6D9810" w14:textId="6A296A85" w:rsidR="00E438BC" w:rsidRPr="0032377E" w:rsidRDefault="00E438BC" w:rsidP="00E17264">
          <w:pPr>
            <w:spacing w:line="480" w:lineRule="auto"/>
            <w:rPr>
              <w:rFonts w:ascii="Times New Roman" w:hAnsi="Times New Roman" w:cs="Times New Roman"/>
              <w:sz w:val="24"/>
              <w:szCs w:val="24"/>
            </w:rPr>
          </w:pPr>
          <w:r w:rsidRPr="0032377E">
            <w:rPr>
              <w:rFonts w:ascii="Times New Roman" w:hAnsi="Times New Roman" w:cs="Times New Roman"/>
              <w:b/>
              <w:bCs/>
              <w:sz w:val="24"/>
              <w:szCs w:val="24"/>
              <w:lang w:val="es-ES"/>
            </w:rPr>
            <w:fldChar w:fldCharType="end"/>
          </w:r>
        </w:p>
      </w:sdtContent>
    </w:sdt>
    <w:p w14:paraId="69D4FAF9" w14:textId="77777777" w:rsidR="0032377E" w:rsidRDefault="0032377E" w:rsidP="00C826EF">
      <w:pPr>
        <w:spacing w:line="480" w:lineRule="auto"/>
        <w:ind w:firstLine="720"/>
        <w:jc w:val="center"/>
        <w:rPr>
          <w:rFonts w:ascii="Times New Roman" w:hAnsi="Times New Roman" w:cs="Times New Roman"/>
          <w:b/>
          <w:bCs/>
          <w:sz w:val="24"/>
          <w:szCs w:val="24"/>
          <w:lang w:eastAsia="es-CO"/>
        </w:rPr>
      </w:pPr>
    </w:p>
    <w:p w14:paraId="2C090CE0" w14:textId="4E8F4849" w:rsidR="00DB4F59" w:rsidRPr="0032377E" w:rsidRDefault="00DB4F59" w:rsidP="00C826EF">
      <w:pPr>
        <w:spacing w:line="480" w:lineRule="auto"/>
        <w:ind w:firstLine="720"/>
        <w:jc w:val="center"/>
        <w:rPr>
          <w:rFonts w:ascii="Times New Roman" w:hAnsi="Times New Roman" w:cs="Times New Roman"/>
          <w:b/>
          <w:bCs/>
          <w:sz w:val="24"/>
          <w:szCs w:val="24"/>
          <w:lang w:eastAsia="es-CO"/>
        </w:rPr>
      </w:pPr>
      <w:r w:rsidRPr="0032377E">
        <w:rPr>
          <w:rFonts w:ascii="Times New Roman" w:hAnsi="Times New Roman" w:cs="Times New Roman"/>
          <w:b/>
          <w:bCs/>
          <w:sz w:val="24"/>
          <w:szCs w:val="24"/>
          <w:lang w:eastAsia="es-CO"/>
        </w:rPr>
        <w:t>Lista de Figuras</w:t>
      </w:r>
    </w:p>
    <w:p w14:paraId="21B0F2A3" w14:textId="5B7C24F8" w:rsidR="008962DB" w:rsidRPr="00E17264" w:rsidRDefault="002636AB" w:rsidP="00E17264">
      <w:pPr>
        <w:pStyle w:val="Tabladeilustraciones"/>
        <w:tabs>
          <w:tab w:val="right" w:leader="dot" w:pos="9508"/>
        </w:tabs>
        <w:spacing w:line="360" w:lineRule="auto"/>
        <w:rPr>
          <w:rFonts w:ascii="Times New Roman" w:eastAsiaTheme="minorEastAsia" w:hAnsi="Times New Roman" w:cs="Times New Roman"/>
          <w:noProof/>
          <w:sz w:val="24"/>
          <w:szCs w:val="24"/>
          <w:lang w:val="en-US"/>
        </w:rPr>
      </w:pPr>
      <w:r w:rsidRPr="00E17264">
        <w:rPr>
          <w:rFonts w:ascii="Times New Roman" w:hAnsi="Times New Roman" w:cs="Times New Roman"/>
          <w:sz w:val="24"/>
          <w:szCs w:val="24"/>
          <w:lang w:eastAsia="es-CO"/>
        </w:rPr>
        <w:fldChar w:fldCharType="begin"/>
      </w:r>
      <w:r w:rsidRPr="00E17264">
        <w:rPr>
          <w:rFonts w:ascii="Times New Roman" w:hAnsi="Times New Roman" w:cs="Times New Roman"/>
          <w:sz w:val="24"/>
          <w:szCs w:val="24"/>
          <w:lang w:eastAsia="es-CO"/>
        </w:rPr>
        <w:instrText xml:space="preserve"> TOC \h \z \c "Figura" </w:instrText>
      </w:r>
      <w:r w:rsidRPr="00E17264">
        <w:rPr>
          <w:rFonts w:ascii="Times New Roman" w:hAnsi="Times New Roman" w:cs="Times New Roman"/>
          <w:sz w:val="24"/>
          <w:szCs w:val="24"/>
          <w:lang w:eastAsia="es-CO"/>
        </w:rPr>
        <w:fldChar w:fldCharType="separate"/>
      </w:r>
      <w:hyperlink w:anchor="_Toc190621875" w:history="1">
        <w:r w:rsidR="008962DB" w:rsidRPr="00E17264">
          <w:rPr>
            <w:rStyle w:val="Hipervnculo"/>
            <w:rFonts w:ascii="Times New Roman" w:hAnsi="Times New Roman" w:cs="Times New Roman"/>
            <w:noProof/>
            <w:sz w:val="24"/>
            <w:szCs w:val="24"/>
          </w:rPr>
          <w:t>Figura 1.  Mecanismos o tipos de acuerdos formales de transferencia tecnológica</w:t>
        </w:r>
        <w:r w:rsidR="008962DB" w:rsidRPr="00E17264">
          <w:rPr>
            <w:rFonts w:ascii="Times New Roman" w:hAnsi="Times New Roman" w:cs="Times New Roman"/>
            <w:noProof/>
            <w:webHidden/>
            <w:sz w:val="24"/>
            <w:szCs w:val="24"/>
          </w:rPr>
          <w:tab/>
        </w:r>
        <w:r w:rsidR="008962DB" w:rsidRPr="00E17264">
          <w:rPr>
            <w:rFonts w:ascii="Times New Roman" w:hAnsi="Times New Roman" w:cs="Times New Roman"/>
            <w:noProof/>
            <w:webHidden/>
            <w:sz w:val="24"/>
            <w:szCs w:val="24"/>
          </w:rPr>
          <w:fldChar w:fldCharType="begin"/>
        </w:r>
        <w:r w:rsidR="008962DB" w:rsidRPr="00E17264">
          <w:rPr>
            <w:rFonts w:ascii="Times New Roman" w:hAnsi="Times New Roman" w:cs="Times New Roman"/>
            <w:noProof/>
            <w:webHidden/>
            <w:sz w:val="24"/>
            <w:szCs w:val="24"/>
          </w:rPr>
          <w:instrText xml:space="preserve"> PAGEREF _Toc190621875 \h </w:instrText>
        </w:r>
        <w:r w:rsidR="008962DB" w:rsidRPr="00E17264">
          <w:rPr>
            <w:rFonts w:ascii="Times New Roman" w:hAnsi="Times New Roman" w:cs="Times New Roman"/>
            <w:noProof/>
            <w:webHidden/>
            <w:sz w:val="24"/>
            <w:szCs w:val="24"/>
          </w:rPr>
        </w:r>
        <w:r w:rsidR="008962DB" w:rsidRPr="00E17264">
          <w:rPr>
            <w:rFonts w:ascii="Times New Roman" w:hAnsi="Times New Roman" w:cs="Times New Roman"/>
            <w:noProof/>
            <w:webHidden/>
            <w:sz w:val="24"/>
            <w:szCs w:val="24"/>
          </w:rPr>
          <w:fldChar w:fldCharType="separate"/>
        </w:r>
        <w:r w:rsidR="008962DB" w:rsidRPr="00E17264">
          <w:rPr>
            <w:rFonts w:ascii="Times New Roman" w:hAnsi="Times New Roman" w:cs="Times New Roman"/>
            <w:noProof/>
            <w:webHidden/>
            <w:sz w:val="24"/>
            <w:szCs w:val="24"/>
          </w:rPr>
          <w:t>10</w:t>
        </w:r>
        <w:r w:rsidR="008962DB" w:rsidRPr="00E17264">
          <w:rPr>
            <w:rFonts w:ascii="Times New Roman" w:hAnsi="Times New Roman" w:cs="Times New Roman"/>
            <w:noProof/>
            <w:webHidden/>
            <w:sz w:val="24"/>
            <w:szCs w:val="24"/>
          </w:rPr>
          <w:fldChar w:fldCharType="end"/>
        </w:r>
      </w:hyperlink>
    </w:p>
    <w:p w14:paraId="1C5913D6" w14:textId="59831615" w:rsidR="008962DB" w:rsidRPr="00E17264" w:rsidRDefault="009E1CE0" w:rsidP="00E17264">
      <w:pPr>
        <w:pStyle w:val="Tabladeilustraciones"/>
        <w:tabs>
          <w:tab w:val="right" w:leader="dot" w:pos="9508"/>
        </w:tabs>
        <w:spacing w:line="360" w:lineRule="auto"/>
        <w:rPr>
          <w:rFonts w:ascii="Times New Roman" w:eastAsiaTheme="minorEastAsia" w:hAnsi="Times New Roman" w:cs="Times New Roman"/>
          <w:noProof/>
          <w:sz w:val="24"/>
          <w:szCs w:val="24"/>
          <w:lang w:val="en-US"/>
        </w:rPr>
      </w:pPr>
      <w:hyperlink w:anchor="_Toc190621876" w:history="1">
        <w:r w:rsidR="008962DB" w:rsidRPr="00E17264">
          <w:rPr>
            <w:rStyle w:val="Hipervnculo"/>
            <w:rFonts w:ascii="Times New Roman" w:hAnsi="Times New Roman" w:cs="Times New Roman"/>
            <w:noProof/>
            <w:sz w:val="24"/>
            <w:szCs w:val="24"/>
          </w:rPr>
          <w:t>Figura 2.  Aspectos de la tecnología para la transferencia</w:t>
        </w:r>
        <w:r w:rsidR="008962DB" w:rsidRPr="00E17264">
          <w:rPr>
            <w:rFonts w:ascii="Times New Roman" w:hAnsi="Times New Roman" w:cs="Times New Roman"/>
            <w:noProof/>
            <w:webHidden/>
            <w:sz w:val="24"/>
            <w:szCs w:val="24"/>
          </w:rPr>
          <w:tab/>
        </w:r>
        <w:r w:rsidR="008962DB" w:rsidRPr="00E17264">
          <w:rPr>
            <w:rFonts w:ascii="Times New Roman" w:hAnsi="Times New Roman" w:cs="Times New Roman"/>
            <w:noProof/>
            <w:webHidden/>
            <w:sz w:val="24"/>
            <w:szCs w:val="24"/>
          </w:rPr>
          <w:fldChar w:fldCharType="begin"/>
        </w:r>
        <w:r w:rsidR="008962DB" w:rsidRPr="00E17264">
          <w:rPr>
            <w:rFonts w:ascii="Times New Roman" w:hAnsi="Times New Roman" w:cs="Times New Roman"/>
            <w:noProof/>
            <w:webHidden/>
            <w:sz w:val="24"/>
            <w:szCs w:val="24"/>
          </w:rPr>
          <w:instrText xml:space="preserve"> PAGEREF _Toc190621876 \h </w:instrText>
        </w:r>
        <w:r w:rsidR="008962DB" w:rsidRPr="00E17264">
          <w:rPr>
            <w:rFonts w:ascii="Times New Roman" w:hAnsi="Times New Roman" w:cs="Times New Roman"/>
            <w:noProof/>
            <w:webHidden/>
            <w:sz w:val="24"/>
            <w:szCs w:val="24"/>
          </w:rPr>
        </w:r>
        <w:r w:rsidR="008962DB" w:rsidRPr="00E17264">
          <w:rPr>
            <w:rFonts w:ascii="Times New Roman" w:hAnsi="Times New Roman" w:cs="Times New Roman"/>
            <w:noProof/>
            <w:webHidden/>
            <w:sz w:val="24"/>
            <w:szCs w:val="24"/>
          </w:rPr>
          <w:fldChar w:fldCharType="separate"/>
        </w:r>
        <w:r w:rsidR="008962DB" w:rsidRPr="00E17264">
          <w:rPr>
            <w:rFonts w:ascii="Times New Roman" w:hAnsi="Times New Roman" w:cs="Times New Roman"/>
            <w:noProof/>
            <w:webHidden/>
            <w:sz w:val="24"/>
            <w:szCs w:val="24"/>
          </w:rPr>
          <w:t>11</w:t>
        </w:r>
        <w:r w:rsidR="008962DB" w:rsidRPr="00E17264">
          <w:rPr>
            <w:rFonts w:ascii="Times New Roman" w:hAnsi="Times New Roman" w:cs="Times New Roman"/>
            <w:noProof/>
            <w:webHidden/>
            <w:sz w:val="24"/>
            <w:szCs w:val="24"/>
          </w:rPr>
          <w:fldChar w:fldCharType="end"/>
        </w:r>
      </w:hyperlink>
    </w:p>
    <w:p w14:paraId="3CCA7B5E" w14:textId="205AAA32" w:rsidR="00DB4F59" w:rsidRPr="00E17264" w:rsidRDefault="002636AB" w:rsidP="00E17264">
      <w:pPr>
        <w:spacing w:line="360" w:lineRule="auto"/>
        <w:ind w:firstLine="720"/>
        <w:jc w:val="center"/>
        <w:rPr>
          <w:rFonts w:ascii="Times New Roman" w:hAnsi="Times New Roman" w:cs="Times New Roman"/>
          <w:sz w:val="24"/>
          <w:szCs w:val="24"/>
          <w:lang w:eastAsia="es-CO"/>
        </w:rPr>
      </w:pPr>
      <w:r w:rsidRPr="00E17264">
        <w:rPr>
          <w:rFonts w:ascii="Times New Roman" w:hAnsi="Times New Roman" w:cs="Times New Roman"/>
          <w:sz w:val="24"/>
          <w:szCs w:val="24"/>
          <w:lang w:eastAsia="es-CO"/>
        </w:rPr>
        <w:fldChar w:fldCharType="end"/>
      </w:r>
    </w:p>
    <w:p w14:paraId="2182101B" w14:textId="77777777" w:rsidR="0032377E" w:rsidRPr="00E17264" w:rsidRDefault="0032377E" w:rsidP="00E17264">
      <w:pPr>
        <w:spacing w:line="360" w:lineRule="auto"/>
        <w:ind w:firstLine="720"/>
        <w:jc w:val="center"/>
        <w:rPr>
          <w:rFonts w:ascii="Times New Roman" w:hAnsi="Times New Roman" w:cs="Times New Roman"/>
          <w:sz w:val="24"/>
          <w:szCs w:val="24"/>
          <w:lang w:eastAsia="es-CO"/>
        </w:rPr>
      </w:pPr>
    </w:p>
    <w:p w14:paraId="36C97A19" w14:textId="1111FCB9" w:rsidR="00DB4F59" w:rsidRPr="00E17264" w:rsidRDefault="00DB4F59" w:rsidP="00E17264">
      <w:pPr>
        <w:spacing w:line="360" w:lineRule="auto"/>
        <w:ind w:firstLine="720"/>
        <w:jc w:val="center"/>
        <w:rPr>
          <w:rFonts w:ascii="Times New Roman" w:hAnsi="Times New Roman" w:cs="Times New Roman"/>
          <w:b/>
          <w:bCs/>
          <w:sz w:val="24"/>
          <w:szCs w:val="24"/>
          <w:lang w:eastAsia="es-CO"/>
        </w:rPr>
      </w:pPr>
      <w:r w:rsidRPr="00E17264">
        <w:rPr>
          <w:rFonts w:ascii="Times New Roman" w:hAnsi="Times New Roman" w:cs="Times New Roman"/>
          <w:b/>
          <w:bCs/>
          <w:sz w:val="24"/>
          <w:szCs w:val="24"/>
          <w:lang w:eastAsia="es-CO"/>
        </w:rPr>
        <w:t>Lista de Tablas</w:t>
      </w:r>
    </w:p>
    <w:p w14:paraId="52CBF803" w14:textId="189C8839" w:rsidR="0032377E" w:rsidRPr="00E17264" w:rsidRDefault="002636AB" w:rsidP="00E17264">
      <w:pPr>
        <w:pStyle w:val="Tabladeilustraciones"/>
        <w:tabs>
          <w:tab w:val="right" w:leader="dot" w:pos="9508"/>
        </w:tabs>
        <w:spacing w:line="360" w:lineRule="auto"/>
        <w:rPr>
          <w:rFonts w:ascii="Times New Roman" w:eastAsiaTheme="minorEastAsia" w:hAnsi="Times New Roman" w:cs="Times New Roman"/>
          <w:noProof/>
          <w:sz w:val="24"/>
          <w:szCs w:val="24"/>
          <w:lang w:val="en-US"/>
        </w:rPr>
      </w:pPr>
      <w:r w:rsidRPr="00E17264">
        <w:rPr>
          <w:rFonts w:ascii="Times New Roman" w:hAnsi="Times New Roman" w:cs="Times New Roman"/>
          <w:sz w:val="24"/>
          <w:szCs w:val="24"/>
          <w:lang w:eastAsia="es-CO"/>
        </w:rPr>
        <w:fldChar w:fldCharType="begin"/>
      </w:r>
      <w:r w:rsidRPr="00E17264">
        <w:rPr>
          <w:rFonts w:ascii="Times New Roman" w:hAnsi="Times New Roman" w:cs="Times New Roman"/>
          <w:sz w:val="24"/>
          <w:szCs w:val="24"/>
          <w:lang w:eastAsia="es-CO"/>
        </w:rPr>
        <w:instrText xml:space="preserve"> TOC \h \z \c "Tabla" </w:instrText>
      </w:r>
      <w:r w:rsidRPr="00E17264">
        <w:rPr>
          <w:rFonts w:ascii="Times New Roman" w:hAnsi="Times New Roman" w:cs="Times New Roman"/>
          <w:sz w:val="24"/>
          <w:szCs w:val="24"/>
          <w:lang w:eastAsia="es-CO"/>
        </w:rPr>
        <w:fldChar w:fldCharType="separate"/>
      </w:r>
      <w:hyperlink w:anchor="_Toc190621955" w:history="1">
        <w:r w:rsidR="0032377E" w:rsidRPr="00E17264">
          <w:rPr>
            <w:rStyle w:val="Hipervnculo"/>
            <w:rFonts w:ascii="Times New Roman" w:hAnsi="Times New Roman" w:cs="Times New Roman"/>
            <w:noProof/>
            <w:sz w:val="24"/>
            <w:szCs w:val="24"/>
          </w:rPr>
          <w:t>Tabla 1.  Etapas del proceso de transferencia tecnológica</w:t>
        </w:r>
        <w:r w:rsidR="0032377E" w:rsidRPr="00E17264">
          <w:rPr>
            <w:rFonts w:ascii="Times New Roman" w:hAnsi="Times New Roman" w:cs="Times New Roman"/>
            <w:noProof/>
            <w:webHidden/>
            <w:sz w:val="24"/>
            <w:szCs w:val="24"/>
          </w:rPr>
          <w:tab/>
        </w:r>
        <w:r w:rsidR="0032377E" w:rsidRPr="00E17264">
          <w:rPr>
            <w:rFonts w:ascii="Times New Roman" w:hAnsi="Times New Roman" w:cs="Times New Roman"/>
            <w:noProof/>
            <w:webHidden/>
            <w:sz w:val="24"/>
            <w:szCs w:val="24"/>
          </w:rPr>
          <w:fldChar w:fldCharType="begin"/>
        </w:r>
        <w:r w:rsidR="0032377E" w:rsidRPr="00E17264">
          <w:rPr>
            <w:rFonts w:ascii="Times New Roman" w:hAnsi="Times New Roman" w:cs="Times New Roman"/>
            <w:noProof/>
            <w:webHidden/>
            <w:sz w:val="24"/>
            <w:szCs w:val="24"/>
          </w:rPr>
          <w:instrText xml:space="preserve"> PAGEREF _Toc190621955 \h </w:instrText>
        </w:r>
        <w:r w:rsidR="0032377E" w:rsidRPr="00E17264">
          <w:rPr>
            <w:rFonts w:ascii="Times New Roman" w:hAnsi="Times New Roman" w:cs="Times New Roman"/>
            <w:noProof/>
            <w:webHidden/>
            <w:sz w:val="24"/>
            <w:szCs w:val="24"/>
          </w:rPr>
        </w:r>
        <w:r w:rsidR="0032377E" w:rsidRPr="00E17264">
          <w:rPr>
            <w:rFonts w:ascii="Times New Roman" w:hAnsi="Times New Roman" w:cs="Times New Roman"/>
            <w:noProof/>
            <w:webHidden/>
            <w:sz w:val="24"/>
            <w:szCs w:val="24"/>
          </w:rPr>
          <w:fldChar w:fldCharType="separate"/>
        </w:r>
        <w:r w:rsidR="0032377E" w:rsidRPr="00E17264">
          <w:rPr>
            <w:rFonts w:ascii="Times New Roman" w:hAnsi="Times New Roman" w:cs="Times New Roman"/>
            <w:noProof/>
            <w:webHidden/>
            <w:sz w:val="24"/>
            <w:szCs w:val="24"/>
          </w:rPr>
          <w:t>4</w:t>
        </w:r>
        <w:r w:rsidR="0032377E" w:rsidRPr="00E17264">
          <w:rPr>
            <w:rFonts w:ascii="Times New Roman" w:hAnsi="Times New Roman" w:cs="Times New Roman"/>
            <w:noProof/>
            <w:webHidden/>
            <w:sz w:val="24"/>
            <w:szCs w:val="24"/>
          </w:rPr>
          <w:fldChar w:fldCharType="end"/>
        </w:r>
      </w:hyperlink>
    </w:p>
    <w:p w14:paraId="75F65BEF" w14:textId="52387173" w:rsidR="0032377E" w:rsidRPr="00E17264" w:rsidRDefault="009E1CE0" w:rsidP="00E17264">
      <w:pPr>
        <w:pStyle w:val="Tabladeilustraciones"/>
        <w:tabs>
          <w:tab w:val="right" w:leader="dot" w:pos="9508"/>
        </w:tabs>
        <w:spacing w:line="360" w:lineRule="auto"/>
        <w:rPr>
          <w:rFonts w:ascii="Times New Roman" w:eastAsiaTheme="minorEastAsia" w:hAnsi="Times New Roman" w:cs="Times New Roman"/>
          <w:noProof/>
          <w:sz w:val="24"/>
          <w:szCs w:val="24"/>
          <w:lang w:val="en-US"/>
        </w:rPr>
      </w:pPr>
      <w:hyperlink w:anchor="_Toc190621956" w:history="1">
        <w:r w:rsidR="0032377E" w:rsidRPr="00E17264">
          <w:rPr>
            <w:rStyle w:val="Hipervnculo"/>
            <w:rFonts w:ascii="Times New Roman" w:hAnsi="Times New Roman" w:cs="Times New Roman"/>
            <w:noProof/>
            <w:sz w:val="24"/>
            <w:szCs w:val="24"/>
          </w:rPr>
          <w:t>Tabla 2.  Tipos de tecnología para transferir</w:t>
        </w:r>
        <w:r w:rsidR="0032377E" w:rsidRPr="00E17264">
          <w:rPr>
            <w:rFonts w:ascii="Times New Roman" w:hAnsi="Times New Roman" w:cs="Times New Roman"/>
            <w:noProof/>
            <w:webHidden/>
            <w:sz w:val="24"/>
            <w:szCs w:val="24"/>
          </w:rPr>
          <w:tab/>
        </w:r>
        <w:r w:rsidR="0032377E" w:rsidRPr="00E17264">
          <w:rPr>
            <w:rFonts w:ascii="Times New Roman" w:hAnsi="Times New Roman" w:cs="Times New Roman"/>
            <w:noProof/>
            <w:webHidden/>
            <w:sz w:val="24"/>
            <w:szCs w:val="24"/>
          </w:rPr>
          <w:fldChar w:fldCharType="begin"/>
        </w:r>
        <w:r w:rsidR="0032377E" w:rsidRPr="00E17264">
          <w:rPr>
            <w:rFonts w:ascii="Times New Roman" w:hAnsi="Times New Roman" w:cs="Times New Roman"/>
            <w:noProof/>
            <w:webHidden/>
            <w:sz w:val="24"/>
            <w:szCs w:val="24"/>
          </w:rPr>
          <w:instrText xml:space="preserve"> PAGEREF _Toc190621956 \h </w:instrText>
        </w:r>
        <w:r w:rsidR="0032377E" w:rsidRPr="00E17264">
          <w:rPr>
            <w:rFonts w:ascii="Times New Roman" w:hAnsi="Times New Roman" w:cs="Times New Roman"/>
            <w:noProof/>
            <w:webHidden/>
            <w:sz w:val="24"/>
            <w:szCs w:val="24"/>
          </w:rPr>
        </w:r>
        <w:r w:rsidR="0032377E" w:rsidRPr="00E17264">
          <w:rPr>
            <w:rFonts w:ascii="Times New Roman" w:hAnsi="Times New Roman" w:cs="Times New Roman"/>
            <w:noProof/>
            <w:webHidden/>
            <w:sz w:val="24"/>
            <w:szCs w:val="24"/>
          </w:rPr>
          <w:fldChar w:fldCharType="separate"/>
        </w:r>
        <w:r w:rsidR="0032377E" w:rsidRPr="00E17264">
          <w:rPr>
            <w:rFonts w:ascii="Times New Roman" w:hAnsi="Times New Roman" w:cs="Times New Roman"/>
            <w:noProof/>
            <w:webHidden/>
            <w:sz w:val="24"/>
            <w:szCs w:val="24"/>
          </w:rPr>
          <w:t>11</w:t>
        </w:r>
        <w:r w:rsidR="0032377E" w:rsidRPr="00E17264">
          <w:rPr>
            <w:rFonts w:ascii="Times New Roman" w:hAnsi="Times New Roman" w:cs="Times New Roman"/>
            <w:noProof/>
            <w:webHidden/>
            <w:sz w:val="24"/>
            <w:szCs w:val="24"/>
          </w:rPr>
          <w:fldChar w:fldCharType="end"/>
        </w:r>
      </w:hyperlink>
    </w:p>
    <w:p w14:paraId="42873C3D" w14:textId="0731DFA8" w:rsidR="00DD096A" w:rsidRPr="00E17264" w:rsidRDefault="002636AB" w:rsidP="00E17264">
      <w:pPr>
        <w:spacing w:line="360" w:lineRule="auto"/>
        <w:rPr>
          <w:rFonts w:ascii="Times New Roman" w:hAnsi="Times New Roman" w:cs="Times New Roman"/>
          <w:sz w:val="24"/>
          <w:szCs w:val="24"/>
          <w:lang w:eastAsia="es-CO"/>
        </w:rPr>
      </w:pPr>
      <w:r w:rsidRPr="00E17264">
        <w:rPr>
          <w:rFonts w:ascii="Times New Roman" w:hAnsi="Times New Roman" w:cs="Times New Roman"/>
          <w:sz w:val="24"/>
          <w:szCs w:val="24"/>
          <w:lang w:eastAsia="es-CO"/>
        </w:rPr>
        <w:fldChar w:fldCharType="end"/>
      </w:r>
    </w:p>
    <w:p w14:paraId="4D3A5489" w14:textId="77777777" w:rsidR="0032377E" w:rsidRDefault="0032377E" w:rsidP="00DD096A">
      <w:pPr>
        <w:rPr>
          <w:rFonts w:ascii="Times New Roman" w:hAnsi="Times New Roman" w:cs="Times New Roman"/>
          <w:b/>
          <w:bCs/>
          <w:sz w:val="24"/>
          <w:szCs w:val="24"/>
          <w:lang w:eastAsia="es-CO"/>
        </w:rPr>
      </w:pPr>
    </w:p>
    <w:p w14:paraId="4871EF3E" w14:textId="77777777" w:rsidR="0032377E" w:rsidRDefault="0032377E" w:rsidP="00DD096A">
      <w:pPr>
        <w:rPr>
          <w:rFonts w:ascii="Times New Roman" w:hAnsi="Times New Roman" w:cs="Times New Roman"/>
          <w:b/>
          <w:bCs/>
          <w:sz w:val="24"/>
          <w:szCs w:val="24"/>
          <w:lang w:eastAsia="es-CO"/>
        </w:rPr>
      </w:pPr>
    </w:p>
    <w:p w14:paraId="3FFB675B" w14:textId="591ECFFE" w:rsidR="00DD096A" w:rsidRPr="008962DB" w:rsidRDefault="00DD096A" w:rsidP="00DD096A">
      <w:pPr>
        <w:pStyle w:val="Ttulo1"/>
        <w:numPr>
          <w:ilvl w:val="0"/>
          <w:numId w:val="14"/>
        </w:numPr>
        <w:rPr>
          <w:rFonts w:cs="Times New Roman"/>
          <w:szCs w:val="24"/>
        </w:rPr>
      </w:pPr>
      <w:bookmarkStart w:id="0" w:name="_Toc190621945"/>
      <w:r w:rsidRPr="008962DB">
        <w:rPr>
          <w:rFonts w:cs="Times New Roman"/>
          <w:szCs w:val="24"/>
        </w:rPr>
        <w:t>Conceptualización del proceso de transferencia tecnológica</w:t>
      </w:r>
      <w:bookmarkEnd w:id="0"/>
    </w:p>
    <w:p w14:paraId="2AB8E5A7" w14:textId="77777777" w:rsidR="00DD096A" w:rsidRPr="008962DB" w:rsidRDefault="00DD096A" w:rsidP="00DD096A">
      <w:pPr>
        <w:jc w:val="both"/>
        <w:rPr>
          <w:rFonts w:ascii="Times New Roman" w:hAnsi="Times New Roman" w:cs="Times New Roman"/>
          <w:sz w:val="24"/>
          <w:szCs w:val="24"/>
          <w:lang w:eastAsia="es-CO"/>
        </w:rPr>
      </w:pPr>
    </w:p>
    <w:p w14:paraId="124EF81C" w14:textId="4BE079F3" w:rsidR="00DD096A" w:rsidRPr="008962DB" w:rsidRDefault="00DD096A" w:rsidP="00DD096A">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 xml:space="preserve">El concepto de transferencia tecnológica- TT ha sido definido en muchos contextos y de múltiples maneras, sin embargo, antes de mencionar las diferentes perspectivas de los autores sobre este proceso, es importante abordar antes el concepto de “tecnología”, ya que en la literatura también se ha utilizado el término “conocimiento” como sinónimo para hacer referencia al objeto que se trasfiere. Sin embargo, diferentes autores como Jhan et al.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{"citationItems":[{"id":"ITEM-1","itemData":{"DOI":"10.1186/S13643-015-0094-3/TABLES/1","ISSN":"20464053","PMID":"26286398","abstract":"Background: Universities, public institutions, and the transfer of knowledge to the private sector play a major role in the development of medical technologies. The decisions of universities and public institutions regarding the transfer of knowledge impact the accessibility of the final product, making it easier or more difficult for consumers to access these products. In the case of medical research, these products are pharmaceuticals, diagnostics, or medical procedures. The ethical dimension of access to these potentially lifesaving products is apparent and distinguishes the transfer of medical knowledge from the transfer of knowledge in other areas. While the general field of technology transfer from academic and public to private actors is attracting an increasing amount of scholarly attention, the specifications of knowledge transfer in the medical field are not as well explored. This review seeks to provide a systematic overview and analysis of the qualitative literature on the characteristics and determinants of knowledge transfer in medical research and development. Methods: The review systematically searches the literature for qualitative studies that focus on knowledge transfer characteristics and determinants at medical academic and public research institutions. It aims at identifying and analyzing the literature on the content and context of knowledge transfer policies, decision-making processes, and actors at academic and public institutions. The search strategy includes the databases PubMed, Web of Science, ProQuest, and DiVa. These databases will be searched based on pre-specified search terms. The studies selected for inclusion in the review will be critically assessed for their quality utilizing the Qualitative Research Checklist developed by the Clinical Appraisal Skills Programme. Data extraction and synthesis will be based on the meta-ethnographic approach. Discussion: This review seeks to further the understanding of the kinds of transfer pathways that exist in medical knowledge transfer as well as what factors lead to the adoption of one pathway over another. The aim is to provide evidence for political and academic actors designing policies for the translation of medical knowledge and public-private cooperation. Systematic review registration: PROSPERO CRD42015014241 .","author":[{"dropping-particle":"","family":"Jahn","given":"Rosa","non-dropping-particle":"","parse-names":false,"suffix":""},{"dropping-particle":"","family":"Müller","given":"Olaf","non-dropping-particle":"","parse-names":false,"suffix":""},{"dropping-particle":"","family":"Bozorgmehr","given":"Kayvan","non-dropping-particle":"","parse-names":false,"suffix":""}],"container-title":"Systematic Reviews","id":"ITEM-1","issue":"1","issued":{"date-parts":[["2015","8","19"]]},"page":"1-5","publisher":"BioMed Central Ltd.","title":"Characteristics and determinants of knowledge transfer policies at universities and public institutions in medical research-protocol for a systematic review of the qualitative research literature","type":"article-journal","volume":"4"},"suppress-author":1,"uris":["http://www.mendeley.com/documents/?uuid=0f5e1066-47a0-33fa-a508-e65c339df249"]}],"mendeley":{"formattedCitation":"(2015b)","plainTextFormattedCitation":"(2015b)","previouslyFormattedCitation":"(2015b)"},"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(2015b)</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w:t>
      </w:r>
      <w:r w:rsidR="00D9013E">
        <w:rPr>
          <w:rFonts w:ascii="Times New Roman" w:hAnsi="Times New Roman" w:cs="Times New Roman"/>
          <w:sz w:val="24"/>
          <w:szCs w:val="24"/>
          <w:lang w:eastAsia="es-CO"/>
        </w:rPr>
        <w:t xml:space="preserve">y </w:t>
      </w:r>
      <w:sdt>
        <w:sdtPr>
          <w:rPr>
            <w:rFonts w:ascii="Times New Roman" w:hAnsi="Times New Roman" w:cs="Times New Roman"/>
            <w:sz w:val="24"/>
            <w:szCs w:val="24"/>
            <w:lang w:eastAsia="es-CO"/>
          </w:rPr>
          <w:alias w:val="To edit, see citavi.com/edit"/>
          <w:tag w:val="CitaviPlaceholder#3354f88f-6b7d-4504-b69d-94a80ed8f176"/>
          <w:id w:val="234371215"/>
          <w:placeholder>
            <w:docPart w:val="DefaultPlaceholder_-1854013440"/>
          </w:placeholder>
        </w:sdtPr>
        <w:sdtEndPr/>
        <w:sdtContent>
          <w:r w:rsidR="00D9013E">
            <w:rPr>
              <w:rFonts w:ascii="Times New Roman" w:hAnsi="Times New Roman" w:cs="Times New Roman"/>
              <w:sz w:val="24"/>
              <w:szCs w:val="24"/>
              <w:lang w:eastAsia="es-CO"/>
            </w:rPr>
            <w:fldChar w:fldCharType="begin"/>
          </w:r>
          <w:r w:rsidR="009E1CE0">
            <w:rPr>
              <w:rFonts w:ascii="Times New Roman" w:hAnsi="Times New Roman" w:cs="Times New Roman"/>
              <w:sz w:val="24"/>
              <w:szCs w:val="24"/>
              <w:lang w:eastAsia="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I0NWMzMjc4LTE1MmUtNGVhMi04ZDNkLTFkMWQ3NWNiMDFkMiIsIlJhbmdlTGVuZ3RoIjoyNSwiUmVmZXJlbmNlSWQiOiJiNDgwMTUyOS1hMGM1LTRiNmMtODBlMi04ZGVlMGU3YTFiMTM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LZXl3b3JkcyI6W10sIkxvY2F0aW9ucyI6W3siJGlkIjoiMTAiLCIkdHlwZSI6IlN3aXNzQWNhZGVtaWMuQ2l0YXZpLkxvY2F0aW9uLCBTd2lzc0FjYWRlbWljLkNpdGF2aSIsIkFkZHJlc3MiOnsiJGlkIjoiMTEiLCIkdHlwZSI6IlN3aXNzQWNhZGVtaWMuQ2l0YXZpLkxpbmtlZFJlc291cmNlLCBTd2lzc0FjYWRlbWljLkNpdGF2aSIsIkxpbmtlZFJlc291cmNlVHlwZSI6NSwiT3JpZ2luYWxTdHJpbmciOiIxMC4xMDgwLzA4MTA5MDI5MTA4NjMxOTc0IiwiVXJpU3RyaW5nIjoiaHR0cHM6Ly9kb2kub3JnLzEwLjEwODAvMDgxMDkwMjkxMDg2MzE5NzQ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}</w:instrText>
          </w:r>
          <w:r w:rsidR="00D9013E">
            <w:rPr>
              <w:rFonts w:ascii="Times New Roman" w:hAnsi="Times New Roman" w:cs="Times New Roman"/>
              <w:sz w:val="24"/>
              <w:szCs w:val="24"/>
              <w:lang w:eastAsia="es-CO"/>
            </w:rPr>
            <w:fldChar w:fldCharType="separate"/>
          </w:r>
          <w:hyperlink w:anchor="_CTVL001b4801529a0c54b6c80e28dee0e7a1b13" w:tooltip="D. McL. Lamberton (2008). Technology Transfer: A Communication Perspective edited by F. Williams and D.V. Gibson (Sage Publications, London, 1990), pp…" w:history="1">
            <w:r w:rsidR="00197300">
              <w:rPr>
                <w:rFonts w:ascii="Times New Roman" w:hAnsi="Times New Roman" w:cs="Times New Roman"/>
                <w:sz w:val="24"/>
                <w:szCs w:val="24"/>
                <w:lang w:eastAsia="es-CO"/>
              </w:rPr>
              <w:t>(D. McL. Lamberton, 2008)</w:t>
            </w:r>
          </w:hyperlink>
          <w:r w:rsidR="00D9013E">
            <w:rPr>
              <w:rFonts w:ascii="Times New Roman" w:hAnsi="Times New Roman" w:cs="Times New Roman"/>
              <w:sz w:val="24"/>
              <w:szCs w:val="24"/>
              <w:lang w:eastAsia="es-CO"/>
            </w:rPr>
            <w:fldChar w:fldCharType="end"/>
          </w:r>
        </w:sdtContent>
      </w:sdt>
      <w:r w:rsidR="00D9013E">
        <w:rPr>
          <w:rFonts w:ascii="Times New Roman" w:hAnsi="Times New Roman" w:cs="Times New Roman"/>
          <w:sz w:val="24"/>
          <w:szCs w:val="24"/>
          <w:lang w:eastAsia="es-CO"/>
        </w:rPr>
        <w:t xml:space="preserve"> </w:t>
      </w:r>
      <w:r w:rsidRPr="008962DB">
        <w:rPr>
          <w:rFonts w:ascii="Times New Roman" w:hAnsi="Times New Roman" w:cs="Times New Roman"/>
          <w:sz w:val="24"/>
          <w:szCs w:val="24"/>
          <w:lang w:eastAsia="es-CO"/>
        </w:rPr>
        <w:t xml:space="preserve">argumentan en sus estudios que cada vez que se transfiere una tecnología, el conocimiento de su uso y su proceso de producción tiene que transferirse con ella. Por lo tanto, “la base de conocimiento es inherente, no auxiliar”. Con base en esa postura y para efectos de esta revisión, el término “tecnología" se utiliza y define para incluir "conocimiento". De esta forma, la presente revisión involucra estudios que aborden el intercambio de cualquier conocimiento científico-tecnológico generado por un investigador o un desarrollador de tecnología. </w:t>
      </w:r>
    </w:p>
    <w:p w14:paraId="7A9105BD" w14:textId="70AD19C4" w:rsidR="00DD096A" w:rsidRPr="008962DB" w:rsidRDefault="00DD096A" w:rsidP="00DD096A">
      <w:pPr>
        <w:spacing w:line="480" w:lineRule="auto"/>
        <w:ind w:firstLine="720"/>
        <w:jc w:val="both"/>
        <w:rPr>
          <w:rFonts w:ascii="Times New Roman" w:hAnsi="Times New Roman" w:cs="Times New Roman"/>
          <w:sz w:val="24"/>
          <w:szCs w:val="24"/>
        </w:rPr>
      </w:pPr>
      <w:r w:rsidRPr="008962DB">
        <w:rPr>
          <w:rFonts w:ascii="Times New Roman" w:hAnsi="Times New Roman" w:cs="Times New Roman"/>
          <w:sz w:val="24"/>
          <w:szCs w:val="24"/>
        </w:rPr>
        <w:t>En cuanto al proceso de TT, diferentes estudios han relacionado su naturaleza con las actividades de comercialización tecnológica como Varma</w:t>
      </w:r>
      <w:r w:rsidR="005330A1">
        <w:rPr>
          <w:rFonts w:ascii="Times New Roman" w:hAnsi="Times New Roman" w:cs="Times New Roman"/>
          <w:sz w:val="24"/>
          <w:szCs w:val="24"/>
        </w:rPr>
        <w:t xml:space="preserve"> </w:t>
      </w:r>
      <w:sdt>
        <w:sdtPr>
          <w:rPr>
            <w:rFonts w:ascii="Times New Roman" w:hAnsi="Times New Roman" w:cs="Times New Roman"/>
            <w:sz w:val="24"/>
            <w:szCs w:val="24"/>
          </w:rPr>
          <w:alias w:val="To edit, see citavi.com/edit"/>
          <w:tag w:val="CitaviPlaceholder#99f3caab-017a-45fe-ad8e-59c00d8b4900"/>
          <w:id w:val="1282845075"/>
          <w:placeholder>
            <w:docPart w:val="DefaultPlaceholder_-1854013440"/>
          </w:placeholder>
        </w:sdtPr>
        <w:sdtEndPr/>
        <w:sdtContent>
          <w:r w:rsidR="005330A1">
            <w:rPr>
              <w:rFonts w:ascii="Times New Roman" w:hAnsi="Times New Roman" w:cs="Times New Roman"/>
              <w:sz w:val="24"/>
              <w:szCs w:val="24"/>
            </w:rPr>
            <w:fldChar w:fldCharType="begin"/>
          </w:r>
          <w:r w:rsidR="009E1CE0">
            <w:rPr>
              <w:rFonts w:ascii="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NiOTc1Y2ZmLTUzMDctNDdhMS04YTU3LTZhY2EwMzdmMDU2MiIsIlJhbmdlTGVuZ3RoIjo2LCJSZWZlcmVuY2VJZCI6IjhlMTEwMzQ3LTA1YzgtNDhjYS1iYTA3LTkzMzdmZmNhM2Q5My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Jc2JuIjoiOTc4MDA4MDk2OTg4NiIsIktleXdvcmRzIjpbXSwiTG9jYXRpb25zIjpbeyIkaWQiOiIxMCIsIiR0eXBlIjoiU3dpc3NBY2FkZW1pYy5DaXRhdmkuTG9jYXRpb24sIFN3aXNzQWNhZGVtaWMuQ2l0YXZpIiwiQWRkcmVzcyI6eyIkaWQiOiIxMSIsIiR0eXBlIjoiU3dpc3NBY2FkZW1pYy5DaXRhdmkuTGlua2VkUmVzb3VyY2UsIFN3aXNzQWNhZGVtaWMuQ2l0YXZpIiwiTGlua2VkUmVzb3VyY2VUeXBlIjo1LCJPcmlnaW5hbFN0cmluZyI6IjEwLjEwMTYvQjk3OC0wLTA4LTA5Njk4OC02LjAwMDM5LTAiLCJVcmlTdHJpbmciOiJodHRwczovL2RvaS5vcmcvMTAuMTAxNi9COTc4LTAtMDgtMDk2OTg4LTYuMDAwMzktMC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}</w:instrText>
          </w:r>
          <w:r w:rsidR="005330A1">
            <w:rPr>
              <w:rFonts w:ascii="Times New Roman" w:hAnsi="Times New Roman" w:cs="Times New Roman"/>
              <w:sz w:val="24"/>
              <w:szCs w:val="24"/>
            </w:rPr>
            <w:fldChar w:fldCharType="separate"/>
          </w:r>
          <w:hyperlink w:anchor="_CTVL0018e11034705c848caba079337ffca3d93" w:tooltip="Brinda K. Varma (2014). Intellectual Property Rights and the Technology Transfer Process. Treatise on Process Metallurgy, 3. https://doi.org/10.1016/B…" w:history="1">
            <w:r w:rsidR="00197300">
              <w:rPr>
                <w:rFonts w:ascii="Times New Roman" w:hAnsi="Times New Roman" w:cs="Times New Roman"/>
                <w:sz w:val="24"/>
                <w:szCs w:val="24"/>
              </w:rPr>
              <w:t>(2014)</w:t>
            </w:r>
          </w:hyperlink>
          <w:r w:rsidR="005330A1">
            <w:rPr>
              <w:rFonts w:ascii="Times New Roman" w:hAnsi="Times New Roman" w:cs="Times New Roman"/>
              <w:sz w:val="24"/>
              <w:szCs w:val="24"/>
            </w:rPr>
            <w:fldChar w:fldCharType="end"/>
          </w:r>
        </w:sdtContent>
      </w:sdt>
      <w:r w:rsidRPr="008962DB">
        <w:rPr>
          <w:rFonts w:ascii="Times New Roman" w:hAnsi="Times New Roman" w:cs="Times New Roman"/>
          <w:sz w:val="24"/>
          <w:szCs w:val="24"/>
        </w:rPr>
        <w:t xml:space="preserve">, quién describe en su investigación cómo el proceso de TT convierte las invenciones en oportunidades comerciales y productos que tengan un impacto en el mercado local y global. Asimismo, otros estudios vinculan la TT con la interacción entre un agente que provee la tecnología y otro encargado de recibirla, como el estudio de (Rogers, 2002), quien habla de la TT como la aplicación de la información al uso, que implica una comunicación bidireccional entre una organización de I+D y una organización receptora.  Otros autores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{"citationItems":[{"id":"ITEM-1","itemData":{"DOI":"10.31260/repertmedcir.01217273.911","ISSN":"0121-7372","abstract":"Para innovar es necesario contar con capacidades. ¿Cuáles son las capacidades tecnológicas de la Fundación Universitaria de Ciencias de la Salud-FUCS de Colombia? Objetivo: identificarlas en el área de las ciencias médicas de la FUCS tomando en cuenta las siguientes dimensiones: capital humano, financiamiento en I+D+I, medición de la innovación, transferencia tecnológica, uso y apropiación de nuevas tecnologías, procesos de aprendizaje en la organización y productividad. Métodos y datos: investigación cualitativa en cuya primera fase se construyó un marco conceptual sobre capacidades tecnológicas de las universidades pues solo se encontraron referentes aplicados a la industria. En la segunda se aplicó una encuesta semiestructurada a actores clave para identificar aquellos productos y/o servicios de investigación o de otras áreas con potencial para comercializar y/o patentar. En una tercera fase se aplicó la metodología de trayectoria de vida (lifecourse) para profundizar en el ciclo de vida de los productos con el fin de identificar las dificultades para la toma de decisiones. Resultados: se logró establecer una línea para la vigilancia tecnológica en la organización, al contar con una base de datos de productos o servicios con potencial para comercializar y/o patentar que se gestan en la FUCS, a partir de una entrevista semiestructurada aplicada a actores clave. Otro de los hallazgos fue que uno de los principales retos es la construcción de una cultura organizacional orientada hacia la innovación continua y la normativa respecto a derechos de propiedad intelectual que definan las reglas de juego.","author":[{"dropping-particle":"","family":"Argote Cusi","given":"Milenka Linneth","non-dropping-particle":"","parse-names":false,"suffix":""}],"container-title":"Revista Repertorio de Medicina y Cirugía","id":"ITEM-1","issue":"1","issued":{"date-parts":[["2021"]]},"page":"29-42","title":"Identificación de las capacidades tecnológicas de la Fundación Universitaria de Ciencias de la Salud, Colombia","type":"article-journal","volume":"30"},"uris":["http://www.mendeley.com/documents/?uuid=1bcb7638-a545-43d6-a00b-684fc8c55e5f"]},{"id":"ITEM-2","itemData":{"DOI":"10.1016/j.medine.2014.04.003","ISSN":"21735727","abstract":"This article is based on the strategic reflection and discussion that took place on occasion of the first conference on innovation and technology transfer in the health sciences organized by the REGIC-ENS-FENIN-SEMICYUC and held in Madrid in the Instituto de Salud Carlos III on May 7th, 2013, with the aim of promoting the transfer of technological innovation in medicine and health care beyond the European program \"Horizon 2020\". The presentations dealt with key issues such as evaluation of the use of new technologies, the need to impregnate the decisions related to adoption and innovation with the concepts of value and sustainability, and the implication of knowledge networks in the need to strengthen their influence upon the creation of a \"culture of innovation\" among health professionals. But above all, emphasis was placed on the latent innovation potential of hospitals, and the fact that these, being the large companies that they are, should seriously consider that much of their future sustainability may depend on proper management of their ability to generate innovation, which is not only the generation of ideas but also their transformation into products or processes that create value and economic returns.","author":[{"dropping-particle":"","family":"Blanch","given":"L.","non-dropping-particle":"","parse-names":false,"suffix":""},{"dropping-particle":"","family":"Guerra","given":"L.","non-dropping-particle":"","parse-names":false,"suffix":""},{"dropping-particle":"","family":"Lanuza","given":"A.","non-dropping-particle":"","parse-names":false,"suffix":""},{"dropping-particle":"","family":"Palomar","given":"G.","non-dropping-particle":"","parse-names":false,"suffix":""}],"container-title":"Medicina Intensiva (English Edition)","id":"ITEM-2","issue":"8","issued":{"date-parts":[["2014"]]},"page":"492-497","publisher":"SEGO","title":"Innovation and technology transfer in the health sciences: A cross-sectional perspective","type":"article-journal","volume":"38"},"uris":["http://www.mendeley.com/documents/?uuid=804ea5a8-6e27-4749-9fd4-e199193aadbc"]},{"id":"ITEM-3","itemData":{"DOI":"10.23919/CISTI52073.2021.9476302","ISBN":"9789895465910","ISSN":"21660735","abstract":"Considering that the strategies developed in Colombia to transfer knowledge and technology have not yet achieved the desired economic impact, evidenced in part in the country's competitiveness index and its position in the world innovation index, the present research work aims to formulate a model based on system dynamics for the analysis of the technology transfer process between the transfer agents and the material supplier industries of the construction sector in Colombia, allowing the analysis of their performance and proposing improvements to the process. For this purpose, variables that have been less studied are included, such as the role of university members, communication skills and, teamwork skills (between technology sender and receiver), thus expanding the state of the art of technology transfer.","author":[{"dropping-particle":"","family":"Gomez","given":"Beatriz Liliana Gomez","non-dropping-particle":"","parse-names":false,"suffix":""},{"dropping-particle":"","family":"Arias","given":"Johnny Alexander Tamayo","non-dropping-particle":"","parse-names":false,"suffix":""},{"dropping-particle":"","family":"Calvo","given":"Johnny Valencia","non-dropping-particle":"","parse-names":false,"suffix":""}],"container-title":"Iberian Conference on Information Systems and Technologies, CISTI","id":"ITEM-3","issued":{"date-parts":[["2021","6","23"]]},"publisher":"IEEE Computer Society","title":"Model based on system dynamics for the evaluation of construction industries technology transfer performance in Colombia","type":"paper-conference"},"uris":["http://www.mendeley.com/documents/?uuid=e10beb01-6350-3911-b32d-675b5dfa3a66"]}],"mendeley":{"formattedCitation":"(Argote Cusi, 2021; Blanch et al., 2014a; Gomez et al., 2021)","plainTextFormattedCitation":"(Argote Cusi, 2021; Blanch et al., 2014a; Gomez et al., 2021)","previouslyFormattedCitation":"(Argote Cusi, 2021; Blanch et al., 2014a; Gomez et al., 2021)"},"properties":{"noteIndex":0},"schema":"https://github.com/citation-style-language/schema/raw/master/csl-citation.json"}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(Argote Cusi, 2021; Gomez et al., 2021</w:t>
      </w:r>
      <w:r w:rsidR="00ED20A9">
        <w:rPr>
          <w:rFonts w:ascii="Times New Roman" w:hAnsi="Times New Roman" w:cs="Times New Roman"/>
          <w:noProof/>
          <w:sz w:val="24"/>
          <w:szCs w:val="24"/>
        </w:rPr>
        <w:t xml:space="preserve"> </w:t>
      </w:r>
      <w:sdt>
        <w:sdtPr>
          <w:rPr>
            <w:rFonts w:ascii="Times New Roman" w:hAnsi="Times New Roman" w:cs="Times New Roman"/>
            <w:noProof/>
            <w:sz w:val="24"/>
            <w:szCs w:val="24"/>
          </w:rPr>
          <w:alias w:val="To edit, see citavi.com/edit"/>
          <w:tag w:val="CitaviPlaceholder#7196697b-2046-49d9-ab4a-4a009d8b2e84"/>
          <w:id w:val="-510518537"/>
          <w:placeholder>
            <w:docPart w:val="DefaultPlaceholder_-1854013440"/>
          </w:placeholder>
        </w:sdtPr>
        <w:sdtEndPr/>
        <w:sdtContent>
          <w:r w:rsidR="00ED20A9">
            <w:rPr>
              <w:rFonts w:ascii="Times New Roman" w:hAnsi="Times New Roman" w:cs="Times New Roman"/>
              <w:noProof/>
              <w:sz w:val="24"/>
              <w:szCs w:val="24"/>
            </w:rPr>
            <w:fldChar w:fldCharType="begin"/>
          </w:r>
          <w:r w:rsidR="009E1CE0">
            <w:rPr>
              <w:rFonts w:ascii="Times New Roman" w:hAnsi="Times New Roman" w:cs="Times New Roman"/>
              <w:noProof/>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BjZWQwY2NkLWQxMmUtNDhjYS05MWZjLTBiZmZjOTJjZDdhMyIsIlJhbmdlTGVuZ3RoIjoyMSwiUmVmZXJlbmNlSWQiOiJlNjE3ZDE0My1mZDBiLTRiNTgtYWY1OC00OTVkYWZkYWRiYz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}</w:instrText>
          </w:r>
          <w:r w:rsidR="00ED20A9">
            <w:rPr>
              <w:rFonts w:ascii="Times New Roman" w:hAnsi="Times New Roman" w:cs="Times New Roman"/>
              <w:noProof/>
              <w:sz w:val="24"/>
              <w:szCs w:val="24"/>
            </w:rPr>
            <w:fldChar w:fldCharType="separate"/>
          </w:r>
          <w:hyperlink w:anchor="_CTVL001e617d143fd0b4b58af58495dafdadbc4" w:tooltip="Blanch, L., Guerra, L., Lanuza, A. y Palomar, G. (2014). Innovation and technology transfer in the health sciences: A cross-sectional perspective. Med…" w:history="1">
            <w:r w:rsidR="00197300">
              <w:rPr>
                <w:rFonts w:ascii="Times New Roman" w:hAnsi="Times New Roman" w:cs="Times New Roman"/>
                <w:noProof/>
                <w:sz w:val="24"/>
                <w:szCs w:val="24"/>
              </w:rPr>
              <w:t>(Blanch et al., 2014)</w:t>
            </w:r>
          </w:hyperlink>
          <w:r w:rsidR="00ED20A9">
            <w:rPr>
              <w:rFonts w:ascii="Times New Roman" w:hAnsi="Times New Roman" w:cs="Times New Roman"/>
              <w:noProof/>
              <w:sz w:val="24"/>
              <w:szCs w:val="24"/>
            </w:rPr>
            <w:fldChar w:fldCharType="end"/>
          </w:r>
        </w:sdtContent>
      </w:sdt>
      <w:r w:rsidRPr="008962DB">
        <w:rPr>
          <w:rFonts w:ascii="Times New Roman" w:hAnsi="Times New Roman" w:cs="Times New Roman"/>
          <w:noProof/>
          <w:sz w:val="24"/>
          <w:szCs w:val="24"/>
        </w:rPr>
        <w:t>)</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 xml:space="preserve"> interpretan el proceso de transferencia como toda operación que transmite conocimiento innovador que puede ser compartido, licenciado, adquirido o cedido, destacando como elemento principal de este proceso el mecanismo </w:t>
      </w:r>
      <w:r w:rsidRPr="008962DB">
        <w:rPr>
          <w:rFonts w:ascii="Times New Roman" w:hAnsi="Times New Roman" w:cs="Times New Roman"/>
          <w:sz w:val="24"/>
          <w:szCs w:val="24"/>
        </w:rPr>
        <w:lastRenderedPageBreak/>
        <w:t xml:space="preserve">utilizado. Y la última línea de pensamiento identificada en la literatura que es asociada al concepto de TT, es la difusión o absorción de nuevas tecnologías, nuevos conocimientos aplicables y/o el resultado de su implementación, generando nuevos productos, procesos o servicios.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{"citationItems":[{"id":"ITEM-1","itemData":{"DOI":"10.1016/J.RESCONREC.2019.104580","ISSN":"0921-3449","abstract":"Green technology plays a fundamental role in achieving the global sustainable development goals. However, the lack of a widely accepted classification system for green technology often hinders the development and adoption of green technology. To promote and support sustainable innovation and investment, China initiated the Green Technology Bank (GTB) in 2016, establishing an online database of green technologies. To provide the standardized criterion for classifying these technologies, this study designed a three-level classification system of green technology (CSGT) through a hybrid method that integrates top-down and bottom-up approaches. The proposed CSGT divides green technologies into five major categories, including environmental quality, resource utilization, energy utilization, life health and ecological safety, with 30 secondary categories and 87 tertiary categories. The CSGT enabled the analysis of 2453 selected examples of green technologies. The results provide valuable information for decision makers and green investors to understand the development of green technologies from the perspective of different sources, sectors, application stages, and spatial distribution. The CSGT developed in this study concerns both immediate green challenges and the ultimate goals of sustainable development by integrating long-term visions and market practices, which can reflect national green strategy and local demands at the same time. The CSGT can be applied to other countries and regions to boost their green technology development and can also be used as a communication tool for multiple stakeholders such as technology investors, users, owners, governments, and the general public.","author":[{"dropping-particle":"","family":"Guo","given":"Ru","non-dropping-particle":"","parse-names":false,"suffix":""},{"dropping-particle":"","family":"Lv","given":"Shuang","non-dropping-particle":"","parse-names":false,"suffix":""},{"dropping-particle":"","family":"Liao","given":"Ting","non-dropping-particle":"","parse-names":false,"suffix":""},{"dropping-particle":"","family":"Xi","given":"Furong","non-dropping-particle":"","parse-names":false,"suffix":""},{"dropping-particle":"","family":"Zhang","given":"Jing","non-dropping-particle":"","parse-names":false,"suffix":""},{"dropping-particle":"","family":"Zuo","given":"Xiuting","non-dropping-particle":"","parse-names":false,"suffix":""},{"dropping-particle":"","family":"Cao","given":"Xiaojing","non-dropping-particle":"","parse-names":false,"suffix":""},{"dropping-particle":"","family":"Feng","given":"Zhi","non-dropping-particle":"","parse-names":false,"suffix":""},{"dropping-particle":"","family":"Zhang","given":"Yalei","non-dropping-particle":"","parse-names":false,"suffix":""}],"container-title":"Resources, Conservation and Recycling","id":"ITEM-1","issued":{"date-parts":[["2020","2","1"]]},"page":"104580","publisher":"Elsevier","title":"Classifying green technologies for sustainable innovation and investment","type":"article-journal","volume":"153"},"uris":["http://www.mendeley.com/documents/?uuid=8fbd2197-56e6-3614-acee-f0e7fde96a23"]},{"id":"ITEM-2","itemData":{"DOI":"10.1080/09537325.2018.1524135","ISSN":"14653990","abstract":"In the supply chain oriented to Industrial 4.0 Scenario the scarcity of studies on Technology Transfer (TT) can be easily observed. TT is a fundamental process, because it steers the absorption and dissemination of technologies towards the various stages of supply chain. The objective of this study is to contextualise TT in the supply chain of Industrial 4.0 Scenario, focusing on the supply, manufacturing industry and final consumer stages. A review of the literature was carried out, using a structured protocol and criteria to compose the bibliographic portfolio. To support the questions presented in this study, the most relevant articles related to the researched topic were thoroughly analyzed. The results infers that in the Industrial 4.0 Scenario, the supply chain will go through changes, such as real-time visibility throughout the entirety of the supply chain, continuous collaboration between the stages of the chain, among other significant changes.","author":[{"dropping-particle":"","family":"Silva","given":"Vander Luiz","non-dropping-particle":"da","parse-names":false,"suffix":""},{"dropping-particle":"","family":"Kovaleski","given":"João Luiz","non-dropping-particle":"","parse-names":false,"suffix":""},{"dropping-particle":"","family":"Pagani","given":"Regina Negri","non-dropping-particle":"","parse-names":false,"suffix":""}],"container-title":"Technology Analysis and Strategic Management","id":"ITEM-2","issue":"5","issued":{"date-parts":[["2019","5","4"]]},"page":"546-562","publisher":"Routledge","title":"Technology transfer in the supply chain oriented to industry 4.0: a literature review","type":"article","volume":"31"},"uris":["http://www.mendeley.com/documents/?uuid=3d29497e-afca-30aa-84ef-7d3b90254788"]}],"mendeley":{"formattedCitation":"(da Silva et al., 2019; Guo et al., 2020)","plainTextFormattedCitation":"(da Silva et al., 2019; Guo et al., 2020)","previouslyFormattedCitation":"(da Silva et al., 2019; Guo et al., 2020)"},"properties":{"noteIndex":0},"schema":"https://github.com/citation-style-language/schema/raw/master/csl-citation.json"}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(da Silva et al., 2019; Guo et al., 2020)</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 donde los estudios resaltan que la importancia de la TT radica cuando la tecnología logra ser implementada en la sociedad.</w:t>
      </w:r>
    </w:p>
    <w:p w14:paraId="28960D03" w14:textId="77777777" w:rsidR="00DD096A" w:rsidRPr="008962DB" w:rsidRDefault="00DD096A" w:rsidP="00DD096A">
      <w:pPr>
        <w:spacing w:line="480" w:lineRule="auto"/>
        <w:ind w:firstLine="720"/>
        <w:jc w:val="both"/>
        <w:rPr>
          <w:rFonts w:ascii="Times New Roman" w:hAnsi="Times New Roman" w:cs="Times New Roman"/>
          <w:sz w:val="24"/>
          <w:szCs w:val="24"/>
        </w:rPr>
      </w:pPr>
      <w:r w:rsidRPr="008962DB">
        <w:rPr>
          <w:rFonts w:ascii="Times New Roman" w:hAnsi="Times New Roman" w:cs="Times New Roman"/>
          <w:color w:val="000000" w:themeColor="text1"/>
          <w:sz w:val="24"/>
          <w:szCs w:val="24"/>
        </w:rPr>
        <w:t>A pesar de que cada perspectiva sobre la TT es diferente, todas concuerda en que la aplicabilidad de la TT es diversa, además de que intervienen muchos factores y actores en su implementación (universidades, empresas, gobierno, oficinas de transferencia tecnológica-OTT, intermediarios tecnológicos, etc.) que lo convierten en un proceso complejo, multifactorial y multidimensional, que no se restringe a una cuestión de asignación o intercambio de recursos, sino que, también depende de los arreglos institucionales y las políticas de CTI que la las economías promuevan. (Álvarez-Castañón, 2020).</w:t>
      </w:r>
    </w:p>
    <w:p w14:paraId="1F7DEE8E" w14:textId="77777777" w:rsidR="00DD096A" w:rsidRPr="008962DB" w:rsidRDefault="00DD096A" w:rsidP="00DD096A">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 xml:space="preserve">Todos estos enfoques, reflejan como la interpretación de la TT ha considerado un sinnúmero de elementos a lo largo del tiempo, lo cual, hace que este concepto se mantenga en un constante proceso de construcción. Además, </w:t>
      </w:r>
      <w:r w:rsidRPr="008962DB">
        <w:rPr>
          <w:rFonts w:ascii="Times New Roman" w:hAnsi="Times New Roman" w:cs="Times New Roman"/>
          <w:sz w:val="24"/>
          <w:szCs w:val="24"/>
        </w:rPr>
        <w:t xml:space="preserve">como lo indicaba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{"citationItems":[{"id":"ITEM-1","itemData":{"DOI":"10.1109/17.119659","ISSN":"15580040","abstract":"Technology Transfer (TT) literature has grown exponentially during the last 25 years. As in most emerging fields the literature is quite disjointed. It is especially so in TT because of the cross-disciplinary nature of the field. Although a number of taxonomies have been proposed most are by and for a specific discipline, e.g., economics or sociology. This paper offers a synthesis, an integrative review, of the various taxonomic efforts while taking into account each of the streams of TT knowledge. © 1992 IEEE","author":[{"dropping-particle":"","family":"Zhao","given":"Liming","non-dropping-particle":"","parse-names":false,"suffix":""},{"dropping-particle":"","family":"Reisman","given":"Arnold","non-dropping-particle":"","parse-names":false,"suffix":""}],"container-title":"IEEE Transactions on Engineering Management","id":"ITEM-1","issue":"1","issued":{"date-parts":[["1992"]]},"page":"13-21","title":"Toward Meta Research on Technology Transfer","type":"article-journal","volume":"39"},"uris":["http://www.mendeley.com/documents/?uuid=b5a56c05-b50a-3d98-884f-86d0438dff46"]}],"mendeley":{"formattedCitation":"(Zhao &amp; Reisman, 1992)","plainTextFormattedCitation":"(Zhao &amp; Reisman, 1992)","previouslyFormattedCitation":"(Zhao &amp; Reisman, 1992)"},"properties":{"noteIndex":0},"schema":"https://github.com/citation-style-language/schema/raw/master/csl-citation.json"}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(Zhao &amp; Reisman, 1992)</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 xml:space="preserve"> en su revisión de literatura, la definición de TT difiere sustancialmente de una disciplina a otra contemplando variables y escenarios completamente distintos, por lo que </w:t>
      </w:r>
      <w:r w:rsidRPr="008962DB">
        <w:rPr>
          <w:rFonts w:ascii="Times New Roman" w:hAnsi="Times New Roman" w:cs="Times New Roman"/>
          <w:sz w:val="24"/>
          <w:szCs w:val="24"/>
          <w:lang w:eastAsia="es-CO"/>
        </w:rPr>
        <w:t xml:space="preserve">carece  de  una  conceptualización  teórica  ampliamente  aceptada  así como de  un enfoque  metodológico  eficaz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{"citationItems":[{"id":"ITEM-1","itemData":{"DOI":"10.1007/978-1-349-05163-2_2","abstract":"Technology transfer, defined as the application ofinformation into use, is often a difficult and frustrating process. Participants in the technology transfer process are usually heterophilous, so that technology receptors speak a different language than technology sources. This essay explores the concept oftechnology transfer and suggests strategies for its facilitation. The","author":[{"dropping-particle":"","family":"Rogers","given":"Everett","non-dropping-particle":"","parse-names":false,"suffix":""}],"container-title":"Trade and Technology in Soviet-Western Relations","id":"ITEM-1","issue":"3","issued":{"date-parts":[["2002"]]},"page":"6-29","title":"The Nature of Technology Transfer","type":"article-journal","volume":"23"},"uris":["http://www.mendeley.com/documents/?uuid=178656e6-713b-4a83-b64a-d9ca8c6c6681"]}],"mendeley":{"formattedCitation":"(Rogers, 2002)","plainTextFormattedCitation":"(Rogers, 2002)","previouslyFormattedCitation":"(Rogers, 2002)"},"properties":{"noteIndex":0},"schema":"https://github.com/citation-style-language/schema/raw/master/csl-citation.json"}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(Rogers, 2002)</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rPr>
        <w:t xml:space="preserve">. </w:t>
      </w:r>
      <w:r w:rsidRPr="008962DB">
        <w:rPr>
          <w:rFonts w:ascii="Times New Roman" w:hAnsi="Times New Roman" w:cs="Times New Roman"/>
          <w:sz w:val="24"/>
          <w:szCs w:val="24"/>
          <w:lang w:eastAsia="es-CO"/>
        </w:rPr>
        <w:t xml:space="preserve"> Sin embargo, emerge cierto consenso en asociar su definición con el “movimiento de conocimientos tecnológicos”, que son definidos por arreglos contractuales y cuyo conocimiento se trasmite desde una fuente, proveedor o cedente (generadores de la tecnología como, universidades, centros e institutos de I+D) hacia un destinatario, receptor o cesionario (personas y organizaciones que reciben </w:t>
      </w:r>
      <w:r w:rsidRPr="008962DB">
        <w:rPr>
          <w:rFonts w:ascii="Times New Roman" w:hAnsi="Times New Roman" w:cs="Times New Roman"/>
          <w:sz w:val="24"/>
          <w:szCs w:val="24"/>
          <w:lang w:eastAsia="es-CO"/>
        </w:rPr>
        <w:lastRenderedPageBreak/>
        <w:t xml:space="preserve">la tecnología) con el fin de mejorar el conocimiento y la experiencia de al menos un agente y fortalecer la posición competitiva de cada uno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{"citationItems":[{"id":"ITEM-1","itemData":{"abstract":"Redda, E.H., Vilas, B.H., Tedla, B.A. (2021). E-Commerce Companies, Online Shopping and Customer's Satisfaction: A Comparative Study of Covid-19 Lockdown in India. Journal of Management Information and Decision Sciences, 24(S6), 1-17","author":[{"dropping-particle":"","family":"Amjid","given":"Yasir Rafique","non-dropping-particle":"","parse-names":false,"suffix":""},{"dropping-particle":"","family":"Usman","given":"Zubair","non-dropping-particle":"","parse-names":false,"suffix":""},{"dropping-particle":"","family":"Nawab","given":"","non-dropping-particle":"","parse-names":false,"suffix":""}],"id":"ITEM-1","issue":"9","issued":{"date-parts":[["2021"]]},"page":"5-7","title":"Review of best practices and insdustry consultation on knowledge and technology transfer Mechanisms and Models","type":"article-journal","volume":"24"},"uris":["http://www.mendeley.com/documents/?uuid=a4ac9878-4526-4b82-8ec8-9a001b32cb8e"]},{"id":"ITEM-2","itemData":{"DOI":"10.14203/stipm.2016.45","ISSN":"1907-9753","abstract":"&lt;p&gt;Innovation is one of the most critical issues in research institutions which can be performed through certain routes within the technology transfer mechanism. As the demands of research implementation are increasing, a better mechanism should be deployed to foster innovation. This study will investigate the possibilities for technology transfer mechanism improvements by (i) identifying a number of steps required for innovation; (ii) measuring the efficiency of each step; and (iii) exploring the most efficient routes to innovate through the Dijkstra algorithm. Cases of research on essential oils and derivatives in the Research Center for Chemistry (RCC) of the Indonesian Institute of Sciences (LIPI) will be examined as the working example for the study. As a result of this study, a model containing a recommended sequence for the most efficient steps to innovation can be proposed. Using the proposed model, the efficiency rate of the technology transfer mechanism was increased twice, suggesting the possibility of stimulating innovation performance.&lt;/p&gt;","author":[{"dropping-particle":"","family":"Setiawan","given":"Arief Ameir Rahman","non-dropping-particle":"","parse-names":false,"suffix":""},{"dropping-particle":"","family":"Sulaswatty","given":"Anny","non-dropping-particle":"","parse-names":false,"suffix":""},{"dropping-particle":"","family":"Haryono","given":"Agus","non-dropping-particle":"","parse-names":false,"suffix":""}],"container-title":"STI Policy and Management Journal","id":"ITEM-2","issue":"1","issued":{"date-parts":[["2016"]]},"title":"Finding the Most Efficient Technology Transfer Route Using Dijkstra Algorithm to Foster Innovation: The Case of Essential Oil Developments in the Research Center for Chemistry at the Indonesian Institute of Sciences","type":"article-journal","volume":"1"},"uris":["http://www.mendeley.com/documents/?uuid=eeff4440-4186-4097-ad2b-7868802d68fe"]}],"mendeley":{"formattedCitation":"(Amjid et al., 2021; Setiawan et al., 2016)","plainTextFormattedCitation":"(Amjid et al., 2021; Setiawan et al., 2016)","previouslyFormattedCitation":"(Amjid et al., 2021; Setiawan et al., 2016)"},"properties":{"noteIndex":0},"schema":"https://github.com/citation-style-language/schema/raw/master/csl-citation.json"}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(Amjid et al., 2021; Setiawan et al., 2016)</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w:t>
      </w:r>
    </w:p>
    <w:p w14:paraId="3D35757C" w14:textId="68150ECF" w:rsidR="00DD096A" w:rsidRPr="008962DB" w:rsidRDefault="00DD096A" w:rsidP="00B81D52">
      <w:pPr>
        <w:pStyle w:val="Ttulo1"/>
        <w:numPr>
          <w:ilvl w:val="0"/>
          <w:numId w:val="14"/>
        </w:numPr>
        <w:rPr>
          <w:rFonts w:cs="Times New Roman"/>
          <w:szCs w:val="24"/>
        </w:rPr>
      </w:pPr>
      <w:bookmarkStart w:id="1" w:name="_Toc190621946"/>
      <w:r w:rsidRPr="008962DB">
        <w:rPr>
          <w:rFonts w:cs="Times New Roman"/>
          <w:szCs w:val="24"/>
        </w:rPr>
        <w:t>Etapas del Proceso de Transferencia Tecnológica</w:t>
      </w:r>
      <w:bookmarkEnd w:id="1"/>
    </w:p>
    <w:p w14:paraId="46E8DCDB" w14:textId="77777777" w:rsidR="00DD096A" w:rsidRPr="008962DB" w:rsidRDefault="00DD096A" w:rsidP="00DD096A">
      <w:pPr>
        <w:jc w:val="both"/>
        <w:rPr>
          <w:rFonts w:ascii="Times New Roman" w:hAnsi="Times New Roman" w:cs="Times New Roman"/>
          <w:sz w:val="24"/>
          <w:szCs w:val="24"/>
          <w:lang w:eastAsia="es-CO"/>
        </w:rPr>
      </w:pPr>
    </w:p>
    <w:p w14:paraId="6E6D89FC" w14:textId="77777777" w:rsidR="00DD096A" w:rsidRPr="008962DB" w:rsidRDefault="00DD096A" w:rsidP="00DD096A">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Para tener una mayor comprensión de cómo se ha desarrollado el proceso de TT, en la Tabla 2 se presentan diferentes enfoques sobre las etapas del proceso de transferencia tecnológica propuestas por varios autores.</w:t>
      </w:r>
    </w:p>
    <w:p w14:paraId="7B536CDF" w14:textId="195ECEFD" w:rsidR="00DD096A" w:rsidRPr="008962DB" w:rsidRDefault="00DD096A" w:rsidP="00DD096A">
      <w:pPr>
        <w:pStyle w:val="Descripcin"/>
        <w:keepNext/>
        <w:spacing w:line="360" w:lineRule="auto"/>
        <w:rPr>
          <w:rFonts w:cs="Times New Roman"/>
          <w:color w:val="auto"/>
          <w:sz w:val="24"/>
          <w:szCs w:val="24"/>
        </w:rPr>
      </w:pPr>
      <w:bookmarkStart w:id="2" w:name="_Toc104341036"/>
      <w:bookmarkStart w:id="3" w:name="_Toc190621955"/>
      <w:r w:rsidRPr="008962DB">
        <w:rPr>
          <w:rFonts w:cs="Times New Roman"/>
          <w:b/>
          <w:bCs/>
          <w:i w:val="0"/>
          <w:iCs w:val="0"/>
          <w:color w:val="auto"/>
          <w:sz w:val="24"/>
          <w:szCs w:val="24"/>
        </w:rPr>
        <w:t xml:space="preserve">Tabla </w:t>
      </w:r>
      <w:r w:rsidRPr="008962DB">
        <w:rPr>
          <w:rFonts w:cs="Times New Roman"/>
          <w:b/>
          <w:bCs/>
          <w:i w:val="0"/>
          <w:iCs w:val="0"/>
          <w:color w:val="auto"/>
          <w:sz w:val="24"/>
          <w:szCs w:val="24"/>
        </w:rPr>
        <w:fldChar w:fldCharType="begin"/>
      </w:r>
      <w:r w:rsidRPr="008962DB">
        <w:rPr>
          <w:rFonts w:cs="Times New Roman"/>
          <w:b/>
          <w:bCs/>
          <w:i w:val="0"/>
          <w:iCs w:val="0"/>
          <w:color w:val="auto"/>
          <w:sz w:val="24"/>
          <w:szCs w:val="24"/>
        </w:rPr>
        <w:instrText xml:space="preserve"> SEQ Tabla \* ARABIC </w:instrText>
      </w:r>
      <w:r w:rsidRPr="008962DB">
        <w:rPr>
          <w:rFonts w:cs="Times New Roman"/>
          <w:b/>
          <w:bCs/>
          <w:i w:val="0"/>
          <w:iCs w:val="0"/>
          <w:color w:val="auto"/>
          <w:sz w:val="24"/>
          <w:szCs w:val="24"/>
        </w:rPr>
        <w:fldChar w:fldCharType="separate"/>
      </w:r>
      <w:r w:rsidR="0032377E">
        <w:rPr>
          <w:rFonts w:cs="Times New Roman"/>
          <w:b/>
          <w:bCs/>
          <w:i w:val="0"/>
          <w:iCs w:val="0"/>
          <w:noProof/>
          <w:color w:val="auto"/>
          <w:sz w:val="24"/>
          <w:szCs w:val="24"/>
        </w:rPr>
        <w:t>1</w:t>
      </w:r>
      <w:r w:rsidRPr="008962DB">
        <w:rPr>
          <w:rFonts w:cs="Times New Roman"/>
          <w:b/>
          <w:bCs/>
          <w:i w:val="0"/>
          <w:iCs w:val="0"/>
          <w:color w:val="auto"/>
          <w:sz w:val="24"/>
          <w:szCs w:val="24"/>
        </w:rPr>
        <w:fldChar w:fldCharType="end"/>
      </w:r>
      <w:r w:rsidRPr="008962DB">
        <w:rPr>
          <w:rFonts w:cs="Times New Roman"/>
          <w:b/>
          <w:bCs/>
          <w:i w:val="0"/>
          <w:iCs w:val="0"/>
          <w:color w:val="auto"/>
          <w:sz w:val="24"/>
          <w:szCs w:val="24"/>
        </w:rPr>
        <w:t>.</w:t>
      </w:r>
      <w:r w:rsidRPr="008962DB">
        <w:rPr>
          <w:rFonts w:cs="Times New Roman"/>
          <w:color w:val="auto"/>
          <w:sz w:val="24"/>
          <w:szCs w:val="24"/>
        </w:rPr>
        <w:t xml:space="preserve"> </w:t>
      </w:r>
      <w:r w:rsidRPr="008962DB">
        <w:rPr>
          <w:rFonts w:cs="Times New Roman"/>
          <w:color w:val="auto"/>
          <w:sz w:val="24"/>
          <w:szCs w:val="24"/>
        </w:rPr>
        <w:br/>
        <w:t>Etapas del proceso de transferencia tecnológica</w:t>
      </w:r>
      <w:bookmarkEnd w:id="2"/>
      <w:bookmarkEnd w:id="3"/>
    </w:p>
    <w:tbl>
      <w:tblPr>
        <w:tblStyle w:val="Tablanormal21"/>
        <w:tblW w:w="5000" w:type="pct"/>
        <w:jc w:val="center"/>
        <w:tblInd w:w="0" w:type="dxa"/>
        <w:tblLook w:val="04A0" w:firstRow="1" w:lastRow="0" w:firstColumn="1" w:lastColumn="0" w:noHBand="0" w:noVBand="1"/>
      </w:tblPr>
      <w:tblGrid>
        <w:gridCol w:w="8106"/>
        <w:gridCol w:w="1412"/>
      </w:tblGrid>
      <w:tr w:rsidR="00DD096A" w:rsidRPr="008962DB" w14:paraId="5B49A5AE" w14:textId="77777777" w:rsidTr="00FD66A3">
        <w:trPr>
          <w:cnfStyle w:val="100000000000" w:firstRow="1" w:lastRow="0" w:firstColumn="0" w:lastColumn="0" w:oddVBand="0" w:evenVBand="0" w:oddHBand="0" w:evenHBand="0" w:firstRowFirstColumn="0" w:firstRowLastColumn="0" w:lastRowFirstColumn="0" w:lastRowLastColumn="0"/>
          <w:trHeight w:val="138"/>
          <w:tblHeader/>
          <w:jc w:val="center"/>
        </w:trPr>
        <w:tc>
          <w:tcPr>
            <w:cnfStyle w:val="001000000000" w:firstRow="0" w:lastRow="0" w:firstColumn="1" w:lastColumn="0" w:oddVBand="0" w:evenVBand="0" w:oddHBand="0" w:evenHBand="0" w:firstRowFirstColumn="0" w:firstRowLastColumn="0" w:lastRowFirstColumn="0" w:lastRowLastColumn="0"/>
            <w:tcW w:w="4258" w:type="pct"/>
            <w:shd w:val="clear" w:color="auto" w:fill="D0CECE" w:themeFill="background2" w:themeFillShade="E6"/>
            <w:vAlign w:val="center"/>
          </w:tcPr>
          <w:p w14:paraId="4A84AF9B" w14:textId="77777777" w:rsidR="00DD096A" w:rsidRPr="008962DB" w:rsidRDefault="00DD096A" w:rsidP="00FD66A3">
            <w:pPr>
              <w:pStyle w:val="Sinespaciado"/>
              <w:rPr>
                <w:rFonts w:ascii="Times New Roman" w:hAnsi="Times New Roman" w:cs="Times New Roman"/>
                <w:b w:val="0"/>
                <w:bCs w:val="0"/>
                <w:sz w:val="24"/>
                <w:szCs w:val="24"/>
              </w:rPr>
            </w:pPr>
            <w:r w:rsidRPr="008962DB">
              <w:rPr>
                <w:rFonts w:ascii="Times New Roman" w:hAnsi="Times New Roman" w:cs="Times New Roman"/>
                <w:sz w:val="24"/>
                <w:szCs w:val="24"/>
              </w:rPr>
              <w:t>ETAPAS</w:t>
            </w:r>
          </w:p>
        </w:tc>
        <w:tc>
          <w:tcPr>
            <w:tcW w:w="742" w:type="pct"/>
            <w:shd w:val="clear" w:color="auto" w:fill="D0CECE" w:themeFill="background2" w:themeFillShade="E6"/>
            <w:vAlign w:val="center"/>
          </w:tcPr>
          <w:p w14:paraId="5F51AC3E" w14:textId="77777777" w:rsidR="00DD096A" w:rsidRPr="008962DB" w:rsidRDefault="00DD096A" w:rsidP="00FD66A3">
            <w:pPr>
              <w:pStyle w:val="Sinespaciad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sz w:val="24"/>
                <w:szCs w:val="24"/>
              </w:rPr>
              <w:t>AUTOR</w:t>
            </w:r>
          </w:p>
        </w:tc>
      </w:tr>
      <w:tr w:rsidR="00DD096A" w:rsidRPr="008962DB" w14:paraId="744FFD92" w14:textId="77777777" w:rsidTr="00FD66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8" w:type="pct"/>
            <w:vAlign w:val="center"/>
          </w:tcPr>
          <w:p w14:paraId="3365F847" w14:textId="77777777" w:rsidR="00DD096A" w:rsidRPr="008962DB" w:rsidRDefault="00DD096A" w:rsidP="00DD096A">
            <w:pPr>
              <w:pStyle w:val="Prrafodelista"/>
              <w:numPr>
                <w:ilvl w:val="0"/>
                <w:numId w:val="7"/>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Existencia de necesidad tecnológica en el receptor y/o existencia de oportunidad tecnológica en el proveedor</w:t>
            </w:r>
          </w:p>
          <w:p w14:paraId="69F27D21" w14:textId="77777777" w:rsidR="00DD096A" w:rsidRPr="008962DB" w:rsidRDefault="00DD096A" w:rsidP="00DD096A">
            <w:pPr>
              <w:pStyle w:val="Prrafodelista"/>
              <w:numPr>
                <w:ilvl w:val="0"/>
                <w:numId w:val="7"/>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Identificación del proveedor y/o receptor</w:t>
            </w:r>
          </w:p>
          <w:p w14:paraId="16B743D1" w14:textId="77777777" w:rsidR="00DD096A" w:rsidRPr="008962DB" w:rsidRDefault="00DD096A" w:rsidP="00DD096A">
            <w:pPr>
              <w:pStyle w:val="Prrafodelista"/>
              <w:numPr>
                <w:ilvl w:val="0"/>
                <w:numId w:val="7"/>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Negociación del acuerdo entre las partes</w:t>
            </w:r>
          </w:p>
          <w:p w14:paraId="0FB160D3" w14:textId="77777777" w:rsidR="00DD096A" w:rsidRPr="008962DB" w:rsidRDefault="00DD096A" w:rsidP="00DD096A">
            <w:pPr>
              <w:pStyle w:val="Prrafodelista"/>
              <w:numPr>
                <w:ilvl w:val="0"/>
                <w:numId w:val="7"/>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Transferencia e implantación de la tecnología en el receptor.</w:t>
            </w:r>
          </w:p>
        </w:tc>
        <w:tc>
          <w:tcPr>
            <w:tcW w:w="742" w:type="pct"/>
            <w:vAlign w:val="center"/>
          </w:tcPr>
          <w:p w14:paraId="22DC4576" w14:textId="77777777" w:rsidR="00DD096A" w:rsidRPr="008962DB" w:rsidRDefault="00DD096A" w:rsidP="00FD66A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77618C4A" w14:textId="77777777" w:rsidR="00DD096A" w:rsidRPr="008962DB" w:rsidRDefault="00DD096A" w:rsidP="00FD66A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{"citationItems":[{"id":"ITEM-1","itemData":{"ISBN":"978-84-613-5009-4","author":[{"dropping-particle":"","family":"Sabater","given":"Javier González","non-dropping-particle":"","parse-names":false,"suffix":""}],"id":"ITEM-1","issued":{"date-parts":[["2009"]]},"title":"Manual de trasnferencia de tecnología y conocimiento","type":"book"},"uris":["http://www.mendeley.com/documents/?uuid=707d75b6-da6f-33b3-ab5b-c1bab6a7c8e8"]}],"mendeley":{"formattedCitation":"(Sabater, 2009)","plainTextFormattedCitation":"(Sabater, 2009)","previouslyFormattedCitation":"(Sabater, 2009)"},"properties":{"noteIndex":0},"schema":"https://github.com/citation-style-language/schema/raw/master/csl-citation.json"}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(Sabater, 2009)</w:t>
            </w:r>
            <w:r w:rsidRPr="008962DB">
              <w:rPr>
                <w:rFonts w:ascii="Times New Roman" w:hAnsi="Times New Roman" w:cs="Times New Roman"/>
                <w:sz w:val="24"/>
                <w:szCs w:val="24"/>
              </w:rPr>
              <w:fldChar w:fldCharType="end"/>
            </w:r>
          </w:p>
        </w:tc>
      </w:tr>
      <w:tr w:rsidR="00DD096A" w:rsidRPr="008962DB" w14:paraId="32B1E6D9" w14:textId="77777777" w:rsidTr="00FD66A3">
        <w:trPr>
          <w:jc w:val="center"/>
        </w:trPr>
        <w:tc>
          <w:tcPr>
            <w:tcW w:w="4258" w:type="pct"/>
            <w:vAlign w:val="center"/>
          </w:tcPr>
          <w:p w14:paraId="3BBFD2A2" w14:textId="77777777" w:rsidR="00DD096A" w:rsidRPr="008962DB" w:rsidRDefault="00DD096A" w:rsidP="00DD096A">
            <w:pPr>
              <w:pStyle w:val="Prrafodelista"/>
              <w:numPr>
                <w:ilvl w:val="0"/>
                <w:numId w:val="8"/>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Pre-implementación</w:t>
            </w:r>
          </w:p>
          <w:p w14:paraId="49006FC9" w14:textId="77777777" w:rsidR="00DD096A" w:rsidRPr="008962DB" w:rsidRDefault="00DD096A" w:rsidP="00DD096A">
            <w:pPr>
              <w:pStyle w:val="Prrafodelista"/>
              <w:numPr>
                <w:ilvl w:val="0"/>
                <w:numId w:val="8"/>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Implementación</w:t>
            </w:r>
          </w:p>
          <w:p w14:paraId="30CD512E" w14:textId="77777777" w:rsidR="00DD096A" w:rsidRPr="008962DB" w:rsidRDefault="00DD096A" w:rsidP="00DD096A">
            <w:pPr>
              <w:pStyle w:val="Prrafodelista"/>
              <w:numPr>
                <w:ilvl w:val="0"/>
                <w:numId w:val="8"/>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Mantenimiento y evolución</w:t>
            </w:r>
          </w:p>
        </w:tc>
        <w:tc>
          <w:tcPr>
            <w:tcW w:w="742" w:type="pct"/>
            <w:vAlign w:val="center"/>
          </w:tcPr>
          <w:p w14:paraId="4FB01F69" w14:textId="60BC3C13" w:rsidR="00DD096A" w:rsidRPr="008962DB" w:rsidRDefault="009E1CE0" w:rsidP="00FD66A3">
            <w:pPr>
              <w:spacing w:line="276" w:lineRule="auto"/>
              <w:jc w:val="center"/>
              <w:rPr>
                <w:rFonts w:ascii="Times New Roman" w:hAnsi="Times New Roman" w:cs="Times New Roman"/>
                <w:sz w:val="24"/>
                <w:szCs w:val="24"/>
              </w:rPr>
            </w:pPr>
            <w:sdt>
              <w:sdtPr>
                <w:rPr>
                  <w:rFonts w:ascii="Times New Roman" w:hAnsi="Times New Roman" w:cs="Times New Roman"/>
                  <w:sz w:val="24"/>
                  <w:szCs w:val="24"/>
                </w:rPr>
                <w:alias w:val="To edit, see citavi.com/edit"/>
                <w:tag w:val="CitaviPlaceholder#90cd0aeb-f9ae-4df3-a856-8f5ee202292f"/>
                <w:id w:val="-1635094440"/>
                <w:placeholder>
                  <w:docPart w:val="DefaultPlaceholder_-1854013440"/>
                </w:placeholder>
              </w:sdtPr>
              <w:sdtEndPr/>
              <w:sdtContent>
                <w:r w:rsidR="005B6C05">
                  <w:rPr>
                    <w:rFonts w:ascii="Times New Roman" w:hAnsi="Times New Roman" w:cs="Times New Roman"/>
                    <w:sz w:val="24"/>
                    <w:szCs w:val="24"/>
                  </w:rPr>
                  <w:fldChar w:fldCharType="begin"/>
                </w:r>
                <w:r>
                  <w:rPr>
                    <w:rFonts w:ascii="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lkNjA4YTVmLTc5NTItNDMzNS05MDgxLWU1MWU0YjVjZWU5MCIsIlJhbmdlTGVuZ3RoIjozMSwiUmVmZXJlbmNlSWQiOiJkMTFhNzNjMC1iMGNlLTQwYTctOGM0Mi1iYjliNTY5OGM2OT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}</w:instrText>
                </w:r>
                <w:r w:rsidR="005B6C05">
                  <w:rPr>
                    <w:rFonts w:ascii="Times New Roman" w:hAnsi="Times New Roman" w:cs="Times New Roman"/>
                    <w:sz w:val="24"/>
                    <w:szCs w:val="24"/>
                  </w:rPr>
                  <w:fldChar w:fldCharType="separate"/>
                </w:r>
                <w:hyperlink w:anchor="_CTVL001d11a73c0b0ce40a78c42bb9b5698c694" w:tooltip="Joan Marie Kraft, Jane S. Mezoff, Ellen D. Sogolow, Mary Spink Neumann, Pat A. Thomas y Jeffrey A. Kelly. (2000). A technology transfer model for effe…" w:history="1">
                  <w:r w:rsidR="00197300">
                    <w:rPr>
                      <w:rFonts w:ascii="Times New Roman" w:hAnsi="Times New Roman" w:cs="Times New Roman"/>
                      <w:sz w:val="24"/>
                      <w:szCs w:val="24"/>
                    </w:rPr>
                    <w:t>(Joan Marie Kraft et al., 2000)</w:t>
                  </w:r>
                </w:hyperlink>
                <w:r w:rsidR="005B6C05">
                  <w:rPr>
                    <w:rFonts w:ascii="Times New Roman" w:hAnsi="Times New Roman" w:cs="Times New Roman"/>
                    <w:sz w:val="24"/>
                    <w:szCs w:val="24"/>
                  </w:rPr>
                  <w:fldChar w:fldCharType="end"/>
                </w:r>
              </w:sdtContent>
            </w:sdt>
          </w:p>
        </w:tc>
      </w:tr>
      <w:tr w:rsidR="00DD096A" w:rsidRPr="008962DB" w14:paraId="0D5EB3CC" w14:textId="77777777" w:rsidTr="00FD66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8" w:type="pct"/>
            <w:vAlign w:val="center"/>
          </w:tcPr>
          <w:p w14:paraId="6DF1D54A" w14:textId="77777777" w:rsidR="00DD096A" w:rsidRPr="008962DB" w:rsidRDefault="00DD096A" w:rsidP="00DD096A">
            <w:pPr>
              <w:pStyle w:val="Prrafodelista"/>
              <w:numPr>
                <w:ilvl w:val="0"/>
                <w:numId w:val="9"/>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Planificación de la TT</w:t>
            </w:r>
          </w:p>
          <w:p w14:paraId="71907C81" w14:textId="77777777" w:rsidR="00DD096A" w:rsidRPr="008962DB" w:rsidRDefault="00DD096A" w:rsidP="00DD096A">
            <w:pPr>
              <w:pStyle w:val="Prrafodelista"/>
              <w:numPr>
                <w:ilvl w:val="0"/>
                <w:numId w:val="9"/>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Conciencia</w:t>
            </w:r>
          </w:p>
          <w:p w14:paraId="4F054E2F" w14:textId="77777777" w:rsidR="00DD096A" w:rsidRPr="008962DB" w:rsidRDefault="00DD096A" w:rsidP="00DD096A">
            <w:pPr>
              <w:pStyle w:val="Prrafodelista"/>
              <w:numPr>
                <w:ilvl w:val="0"/>
                <w:numId w:val="9"/>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Selección de la tecnología</w:t>
            </w:r>
          </w:p>
          <w:p w14:paraId="19953B84" w14:textId="77777777" w:rsidR="00DD096A" w:rsidRPr="008962DB" w:rsidRDefault="00DD096A" w:rsidP="00DD096A">
            <w:pPr>
              <w:pStyle w:val="Prrafodelista"/>
              <w:numPr>
                <w:ilvl w:val="0"/>
                <w:numId w:val="9"/>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Implementación de la tecnología</w:t>
            </w:r>
          </w:p>
          <w:p w14:paraId="0D18F3A6" w14:textId="77777777" w:rsidR="00DD096A" w:rsidRPr="008962DB" w:rsidRDefault="00DD096A" w:rsidP="00DD096A">
            <w:pPr>
              <w:pStyle w:val="Prrafodelista"/>
              <w:numPr>
                <w:ilvl w:val="0"/>
                <w:numId w:val="9"/>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Evaluación del proceso</w:t>
            </w:r>
          </w:p>
        </w:tc>
        <w:tc>
          <w:tcPr>
            <w:tcW w:w="742" w:type="pct"/>
            <w:vAlign w:val="center"/>
          </w:tcPr>
          <w:p w14:paraId="1147DFBB" w14:textId="2BC293B5" w:rsidR="00DD096A" w:rsidRPr="008962DB" w:rsidRDefault="009E1CE0" w:rsidP="00FD66A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sdt>
              <w:sdtPr>
                <w:rPr>
                  <w:rFonts w:ascii="Times New Roman" w:hAnsi="Times New Roman" w:cs="Times New Roman"/>
                  <w:sz w:val="24"/>
                  <w:szCs w:val="24"/>
                </w:rPr>
                <w:alias w:val="To edit, see citavi.com/edit"/>
                <w:tag w:val="CitaviPlaceholder#62e706cc-0605-4ae1-8936-d0f6204ae285"/>
                <w:id w:val="-287445394"/>
                <w:placeholder>
                  <w:docPart w:val="DefaultPlaceholder_-1854013440"/>
                </w:placeholder>
              </w:sdtPr>
              <w:sdtEndPr/>
              <w:sdtContent>
                <w:r w:rsidR="0005655F">
                  <w:rPr>
                    <w:rFonts w:ascii="Times New Roman" w:hAnsi="Times New Roman" w:cs="Times New Roman"/>
                    <w:sz w:val="24"/>
                    <w:szCs w:val="24"/>
                  </w:rPr>
                  <w:fldChar w:fldCharType="begin"/>
                </w:r>
                <w:r>
                  <w:rPr>
                    <w:rFonts w:ascii="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ZhODZjMmY2LWJhODUtNDJhZi1hZDk2LWM1Nzk3MzhjMWI5YyIsIlJhbmdlTGVuZ3RoIjo0NiwiUmVmZXJlbmNlSWQiOiI4ZTU3NGM3My1jOGQyLTQ5YTQtODQ1Yy02ZDYwMDQ5NTRmMD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jEwLjEwMTYvSi5URUNIU09DLjIwMTEuMTIuMDAyIiwiVXJpU3RyaW5nIjoiaHR0cHM6Ly9kb2kub3JnLzEwLjEwMTYvSi5URUNIU09DLjIwMTEuMTIuMDAy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}</w:instrText>
                </w:r>
                <w:r w:rsidR="0005655F">
                  <w:rPr>
                    <w:rFonts w:ascii="Times New Roman" w:hAnsi="Times New Roman" w:cs="Times New Roman"/>
                    <w:sz w:val="24"/>
                    <w:szCs w:val="24"/>
                  </w:rPr>
                  <w:fldChar w:fldCharType="separate"/>
                </w:r>
                <w:hyperlink w:anchor="_CTVL0018e574c73c8d249a4845c6d6004954f05" w:tooltip="Christian Davies-Colley y Willie Smith (2012). Implementing environmental technologies in development situations: The example of ecological toilets. T…" w:history="1">
                  <w:r w:rsidR="00197300">
                    <w:rPr>
                      <w:rFonts w:ascii="Times New Roman" w:hAnsi="Times New Roman" w:cs="Times New Roman"/>
                      <w:sz w:val="24"/>
                      <w:szCs w:val="24"/>
                    </w:rPr>
                    <w:t>(Christian Davies-Colley y Willie Smith, 2012)</w:t>
                  </w:r>
                </w:hyperlink>
                <w:r w:rsidR="0005655F">
                  <w:rPr>
                    <w:rFonts w:ascii="Times New Roman" w:hAnsi="Times New Roman" w:cs="Times New Roman"/>
                    <w:sz w:val="24"/>
                    <w:szCs w:val="24"/>
                  </w:rPr>
                  <w:fldChar w:fldCharType="end"/>
                </w:r>
              </w:sdtContent>
            </w:sdt>
          </w:p>
        </w:tc>
      </w:tr>
      <w:tr w:rsidR="00DD096A" w:rsidRPr="008962DB" w14:paraId="253749A6" w14:textId="77777777" w:rsidTr="00FD66A3">
        <w:trPr>
          <w:jc w:val="center"/>
        </w:trPr>
        <w:tc>
          <w:tcPr>
            <w:tcW w:w="4258" w:type="pct"/>
            <w:vAlign w:val="center"/>
          </w:tcPr>
          <w:p w14:paraId="052448B1" w14:textId="77777777" w:rsidR="00DD096A" w:rsidRPr="008962DB" w:rsidRDefault="00DD096A" w:rsidP="00DD096A">
            <w:pPr>
              <w:pStyle w:val="Prrafodelista"/>
              <w:numPr>
                <w:ilvl w:val="0"/>
                <w:numId w:val="10"/>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Identificar la necesidad tecnológica</w:t>
            </w:r>
          </w:p>
          <w:p w14:paraId="5C056EE3" w14:textId="77777777" w:rsidR="00DD096A" w:rsidRPr="008962DB" w:rsidRDefault="00DD096A" w:rsidP="00DD096A">
            <w:pPr>
              <w:pStyle w:val="Prrafodelista"/>
              <w:numPr>
                <w:ilvl w:val="0"/>
                <w:numId w:val="10"/>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Identificar cedentes</w:t>
            </w:r>
          </w:p>
          <w:p w14:paraId="577BEA55" w14:textId="77777777" w:rsidR="00DD096A" w:rsidRPr="008962DB" w:rsidRDefault="00DD096A" w:rsidP="00DD096A">
            <w:pPr>
              <w:pStyle w:val="Prrafodelista"/>
              <w:numPr>
                <w:ilvl w:val="0"/>
                <w:numId w:val="10"/>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Evaluar alternativas tecnológicas</w:t>
            </w:r>
          </w:p>
          <w:p w14:paraId="47D99FFC" w14:textId="77777777" w:rsidR="00DD096A" w:rsidRPr="008962DB" w:rsidRDefault="00DD096A" w:rsidP="00DD096A">
            <w:pPr>
              <w:pStyle w:val="Prrafodelista"/>
              <w:numPr>
                <w:ilvl w:val="0"/>
                <w:numId w:val="10"/>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Seleccionar tecnología</w:t>
            </w:r>
          </w:p>
          <w:p w14:paraId="02DB6FFA" w14:textId="77777777" w:rsidR="00DD096A" w:rsidRPr="008962DB" w:rsidRDefault="00DD096A" w:rsidP="00DD096A">
            <w:pPr>
              <w:pStyle w:val="Prrafodelista"/>
              <w:numPr>
                <w:ilvl w:val="0"/>
                <w:numId w:val="10"/>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Promover infraestructura para la recepción</w:t>
            </w:r>
          </w:p>
          <w:p w14:paraId="37636CBD" w14:textId="77777777" w:rsidR="00DD096A" w:rsidRPr="008962DB" w:rsidRDefault="00DD096A" w:rsidP="00DD096A">
            <w:pPr>
              <w:pStyle w:val="Prrafodelista"/>
              <w:numPr>
                <w:ilvl w:val="0"/>
                <w:numId w:val="10"/>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Iniciar negociación</w:t>
            </w:r>
          </w:p>
          <w:p w14:paraId="7C4F5ADC" w14:textId="77777777" w:rsidR="00DD096A" w:rsidRPr="008962DB" w:rsidRDefault="00DD096A" w:rsidP="00DD096A">
            <w:pPr>
              <w:pStyle w:val="Prrafodelista"/>
              <w:numPr>
                <w:ilvl w:val="0"/>
                <w:numId w:val="10"/>
              </w:numPr>
              <w:spacing w:line="276" w:lineRule="auto"/>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8962DB">
              <w:rPr>
                <w:rFonts w:ascii="Times New Roman" w:hAnsi="Times New Roman" w:cs="Times New Roman"/>
                <w:b w:val="0"/>
                <w:bCs w:val="0"/>
                <w:sz w:val="24"/>
                <w:szCs w:val="24"/>
              </w:rPr>
              <w:t>Planificación financiera</w:t>
            </w:r>
          </w:p>
        </w:tc>
        <w:tc>
          <w:tcPr>
            <w:tcW w:w="742" w:type="pct"/>
            <w:vAlign w:val="center"/>
          </w:tcPr>
          <w:p w14:paraId="0B5DB6B7" w14:textId="1E238160" w:rsidR="00DD096A" w:rsidRPr="008962DB" w:rsidRDefault="009E1CE0" w:rsidP="00FD66A3">
            <w:pPr>
              <w:spacing w:line="276" w:lineRule="auto"/>
              <w:jc w:val="center"/>
              <w:rPr>
                <w:rFonts w:ascii="Times New Roman" w:hAnsi="Times New Roman" w:cs="Times New Roman"/>
                <w:sz w:val="24"/>
                <w:szCs w:val="24"/>
              </w:rPr>
            </w:pPr>
            <w:sdt>
              <w:sdtPr>
                <w:rPr>
                  <w:rFonts w:ascii="Times New Roman" w:hAnsi="Times New Roman" w:cs="Times New Roman"/>
                  <w:sz w:val="24"/>
                  <w:szCs w:val="24"/>
                </w:rPr>
                <w:alias w:val="To edit, see citavi.com/edit"/>
                <w:tag w:val="CitaviPlaceholder#bb9b58ce-bc68-49d2-b392-6d22ffd34a58"/>
                <w:id w:val="-1774326072"/>
                <w:placeholder>
                  <w:docPart w:val="DefaultPlaceholder_-1854013440"/>
                </w:placeholder>
              </w:sdtPr>
              <w:sdtEndPr/>
              <w:sdtContent>
                <w:r w:rsidR="00532E39">
                  <w:rPr>
                    <w:rFonts w:ascii="Times New Roman" w:hAnsi="Times New Roman" w:cs="Times New Roman"/>
                    <w:sz w:val="24"/>
                    <w:szCs w:val="24"/>
                  </w:rPr>
                  <w:fldChar w:fldCharType="begin"/>
                </w:r>
                <w:r>
                  <w:rPr>
                    <w:rFonts w:ascii="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I3N2U3M2Q5LTVhZGEtNDQ2OS04NDQzLTkwN2VkMTg3MjIwOSIsIlJhbmdlTGVuZ3RoIjoyNiwiUmVmZXJlbmNlSWQiOiJmMjhiZGIzMS00M2M0LTRhMTItYmQ1ZC04ZDYwY2E3ZDcwNW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}</w:instrText>
                </w:r>
                <w:r w:rsidR="00532E39">
                  <w:rPr>
                    <w:rFonts w:ascii="Times New Roman" w:hAnsi="Times New Roman" w:cs="Times New Roman"/>
                    <w:sz w:val="24"/>
                    <w:szCs w:val="24"/>
                  </w:rPr>
                  <w:fldChar w:fldCharType="separate"/>
                </w:r>
                <w:hyperlink w:anchor="_CTVL001f28bdb3143c44a12bd5d8d60ca7d705f" w:tooltip="Alana Corsi, Fabiane Florencio de Souza, Regina Negri Pagani y João Luiz Kovaleski (2021). Technology transfer oriented to sustainable development: pr…" w:history="1">
                  <w:r w:rsidR="00532E39">
                    <w:rPr>
                      <w:rFonts w:ascii="Times New Roman" w:hAnsi="Times New Roman" w:cs="Times New Roman"/>
                      <w:sz w:val="24"/>
                      <w:szCs w:val="24"/>
                    </w:rPr>
                    <w:t>(Alana Corsi et al., 2021)</w:t>
                  </w:r>
                </w:hyperlink>
                <w:r w:rsidR="00532E39">
                  <w:rPr>
                    <w:rFonts w:ascii="Times New Roman" w:hAnsi="Times New Roman" w:cs="Times New Roman"/>
                    <w:sz w:val="24"/>
                    <w:szCs w:val="24"/>
                  </w:rPr>
                  <w:fldChar w:fldCharType="end"/>
                </w:r>
              </w:sdtContent>
            </w:sdt>
          </w:p>
        </w:tc>
      </w:tr>
      <w:tr w:rsidR="00DD096A" w:rsidRPr="008962DB" w14:paraId="1D7D3D6B" w14:textId="77777777" w:rsidTr="00FD66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8" w:type="pct"/>
            <w:vAlign w:val="center"/>
          </w:tcPr>
          <w:p w14:paraId="55111D80" w14:textId="77777777" w:rsidR="00DD096A" w:rsidRPr="008962DB" w:rsidRDefault="00DD096A" w:rsidP="00DD096A">
            <w:pPr>
              <w:pStyle w:val="Prrafodelista"/>
              <w:numPr>
                <w:ilvl w:val="0"/>
                <w:numId w:val="11"/>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Análisis de la innovación y su contexto</w:t>
            </w:r>
          </w:p>
          <w:p w14:paraId="0CA59A2F" w14:textId="77777777" w:rsidR="00DD096A" w:rsidRPr="008962DB" w:rsidRDefault="00DD096A" w:rsidP="00DD096A">
            <w:pPr>
              <w:pStyle w:val="Prrafodelista"/>
              <w:numPr>
                <w:ilvl w:val="0"/>
                <w:numId w:val="11"/>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Protección y explotación de la tecnología</w:t>
            </w:r>
          </w:p>
          <w:p w14:paraId="4818B904" w14:textId="77777777" w:rsidR="00DD096A" w:rsidRPr="008962DB" w:rsidRDefault="00DD096A" w:rsidP="00DD096A">
            <w:pPr>
              <w:pStyle w:val="Prrafodelista"/>
              <w:numPr>
                <w:ilvl w:val="0"/>
                <w:numId w:val="11"/>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Comercialización</w:t>
            </w:r>
          </w:p>
          <w:p w14:paraId="777EB447" w14:textId="77777777" w:rsidR="00DD096A" w:rsidRPr="008962DB" w:rsidRDefault="00DD096A" w:rsidP="00DD096A">
            <w:pPr>
              <w:pStyle w:val="Prrafodelista"/>
              <w:numPr>
                <w:ilvl w:val="0"/>
                <w:numId w:val="11"/>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lastRenderedPageBreak/>
              <w:t>Retornos</w:t>
            </w:r>
          </w:p>
        </w:tc>
        <w:tc>
          <w:tcPr>
            <w:tcW w:w="742" w:type="pct"/>
            <w:vAlign w:val="center"/>
          </w:tcPr>
          <w:p w14:paraId="52D7023A" w14:textId="77777777" w:rsidR="00DD096A" w:rsidRPr="008962DB" w:rsidRDefault="00DD096A" w:rsidP="00FD66A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8962DB">
              <w:rPr>
                <w:rFonts w:ascii="Times New Roman" w:hAnsi="Times New Roman" w:cs="Times New Roman"/>
                <w:sz w:val="24"/>
                <w:szCs w:val="24"/>
              </w:rPr>
              <w:lastRenderedPageBreak/>
              <w:fldChar w:fldCharType="begin" w:fldLock="1"/>
            </w:r>
            <w:r w:rsidRPr="008962DB">
              <w:rPr>
                <w:rFonts w:ascii="Times New Roman" w:hAnsi="Times New Roman" w:cs="Times New Roman"/>
                <w:sz w:val="24"/>
                <w:szCs w:val="24"/>
              </w:rPr>
              <w:instrText>ADDIN CSL_CITATION {"citationItems":[{"id":"ITEM-1","itemData":{"URL":"https://www.incotec.es/blog/etapas-transferencia-tecnologica","accessed":{"date-parts":[["2022","5","25"]]},"author":[{"dropping-particle":"","family":"Incotec","given":"","non-dropping-particle":"","parse-names":false,"suffix":""}],"id":"ITEM-1","issued":{"date-parts":[["2021"]]},"title":"Las etapas de la transferencia tecnológica como parte del proceso de la innovación","type":"webpage"},"uris":["http://www.mendeley.com/documents/?uuid=329999af-be9d-3d1b-b22f-4de9a5f4449c"]}],"mendeley":{"formattedCitation":"(Incotec, 2021)","plainTextFormattedCitation":"(Incotec, 2021)","previouslyFormattedCitation":"(Incotec, 2021)"},"properties":{"noteIndex":0},"schema":"https://github.com/citation-style-language/schema/raw/master/csl-citation.json"}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(Incotec, 2021)</w:t>
            </w:r>
            <w:r w:rsidRPr="008962DB">
              <w:rPr>
                <w:rFonts w:ascii="Times New Roman" w:hAnsi="Times New Roman" w:cs="Times New Roman"/>
                <w:sz w:val="24"/>
                <w:szCs w:val="24"/>
              </w:rPr>
              <w:fldChar w:fldCharType="end"/>
            </w:r>
          </w:p>
        </w:tc>
      </w:tr>
      <w:tr w:rsidR="00DD096A" w:rsidRPr="008962DB" w14:paraId="13F8A388" w14:textId="77777777" w:rsidTr="00FD66A3">
        <w:trPr>
          <w:jc w:val="center"/>
        </w:trPr>
        <w:tc>
          <w:tcPr>
            <w:cnfStyle w:val="001000000000" w:firstRow="0" w:lastRow="0" w:firstColumn="1" w:lastColumn="0" w:oddVBand="0" w:evenVBand="0" w:oddHBand="0" w:evenHBand="0" w:firstRowFirstColumn="0" w:firstRowLastColumn="0" w:lastRowFirstColumn="0" w:lastRowLastColumn="0"/>
            <w:tcW w:w="4258" w:type="pct"/>
            <w:vAlign w:val="center"/>
          </w:tcPr>
          <w:p w14:paraId="68A9FD3F" w14:textId="77777777" w:rsidR="00DD096A" w:rsidRPr="008962DB" w:rsidRDefault="00DD096A" w:rsidP="00DD096A">
            <w:pPr>
              <w:pStyle w:val="Prrafodelista"/>
              <w:numPr>
                <w:ilvl w:val="0"/>
                <w:numId w:val="12"/>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Desarrollo de la tecnología</w:t>
            </w:r>
          </w:p>
          <w:p w14:paraId="5C654FBF" w14:textId="77777777" w:rsidR="00DD096A" w:rsidRPr="008962DB" w:rsidRDefault="00DD096A" w:rsidP="00DD096A">
            <w:pPr>
              <w:pStyle w:val="Prrafodelista"/>
              <w:numPr>
                <w:ilvl w:val="0"/>
                <w:numId w:val="12"/>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Protección intelectual</w:t>
            </w:r>
          </w:p>
          <w:p w14:paraId="35B147E0" w14:textId="77777777" w:rsidR="00DD096A" w:rsidRPr="008962DB" w:rsidRDefault="00DD096A" w:rsidP="00DD096A">
            <w:pPr>
              <w:pStyle w:val="Prrafodelista"/>
              <w:numPr>
                <w:ilvl w:val="0"/>
                <w:numId w:val="12"/>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Negociación de tecnología</w:t>
            </w:r>
          </w:p>
          <w:p w14:paraId="6D1F2F05" w14:textId="77777777" w:rsidR="00DD096A" w:rsidRPr="008962DB" w:rsidRDefault="00DD096A" w:rsidP="00DD096A">
            <w:pPr>
              <w:pStyle w:val="Prrafodelista"/>
              <w:numPr>
                <w:ilvl w:val="0"/>
                <w:numId w:val="12"/>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Otorgamiento de derecho</w:t>
            </w:r>
          </w:p>
          <w:p w14:paraId="605BBA11" w14:textId="77777777" w:rsidR="00DD096A" w:rsidRPr="008962DB" w:rsidRDefault="00DD096A" w:rsidP="00DD096A">
            <w:pPr>
              <w:pStyle w:val="Prrafodelista"/>
              <w:numPr>
                <w:ilvl w:val="0"/>
                <w:numId w:val="12"/>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Desagregación de la tecnología</w:t>
            </w:r>
          </w:p>
          <w:p w14:paraId="39FE03B4" w14:textId="77777777" w:rsidR="00DD096A" w:rsidRPr="008962DB" w:rsidRDefault="00DD096A" w:rsidP="00DD096A">
            <w:pPr>
              <w:pStyle w:val="Prrafodelista"/>
              <w:numPr>
                <w:ilvl w:val="0"/>
                <w:numId w:val="12"/>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Entendimiento de la tecnología</w:t>
            </w:r>
          </w:p>
          <w:p w14:paraId="60E0EEF3" w14:textId="77777777" w:rsidR="00DD096A" w:rsidRPr="008962DB" w:rsidRDefault="00DD096A" w:rsidP="00DD096A">
            <w:pPr>
              <w:pStyle w:val="Prrafodelista"/>
              <w:numPr>
                <w:ilvl w:val="0"/>
                <w:numId w:val="12"/>
              </w:numPr>
              <w:spacing w:line="276" w:lineRule="auto"/>
              <w:rPr>
                <w:rFonts w:ascii="Times New Roman" w:hAnsi="Times New Roman" w:cs="Times New Roman"/>
                <w:b w:val="0"/>
                <w:bCs w:val="0"/>
                <w:sz w:val="24"/>
                <w:szCs w:val="24"/>
              </w:rPr>
            </w:pPr>
            <w:r w:rsidRPr="008962DB">
              <w:rPr>
                <w:rFonts w:ascii="Times New Roman" w:hAnsi="Times New Roman" w:cs="Times New Roman"/>
                <w:b w:val="0"/>
                <w:bCs w:val="0"/>
                <w:sz w:val="24"/>
                <w:szCs w:val="24"/>
              </w:rPr>
              <w:t>Asimilación de la tecnología</w:t>
            </w:r>
          </w:p>
          <w:p w14:paraId="303BC2F6" w14:textId="77777777" w:rsidR="00DD096A" w:rsidRPr="008962DB" w:rsidRDefault="00DD096A" w:rsidP="00DD096A">
            <w:pPr>
              <w:pStyle w:val="Prrafodelista"/>
              <w:numPr>
                <w:ilvl w:val="0"/>
                <w:numId w:val="12"/>
              </w:numPr>
              <w:spacing w:line="276" w:lineRule="auto"/>
              <w:rPr>
                <w:rFonts w:ascii="Times New Roman" w:hAnsi="Times New Roman" w:cs="Times New Roman"/>
                <w:sz w:val="24"/>
                <w:szCs w:val="24"/>
              </w:rPr>
            </w:pPr>
            <w:r w:rsidRPr="008962DB">
              <w:rPr>
                <w:rFonts w:ascii="Times New Roman" w:hAnsi="Times New Roman" w:cs="Times New Roman"/>
                <w:b w:val="0"/>
                <w:bCs w:val="0"/>
                <w:sz w:val="24"/>
                <w:szCs w:val="24"/>
              </w:rPr>
              <w:t>Apropiación de la tecnología</w:t>
            </w:r>
          </w:p>
        </w:tc>
        <w:tc>
          <w:tcPr>
            <w:tcW w:w="742" w:type="pct"/>
            <w:vAlign w:val="center"/>
          </w:tcPr>
          <w:p w14:paraId="7FB3134E" w14:textId="77777777" w:rsidR="00DD096A" w:rsidRPr="008962DB" w:rsidRDefault="00DD096A" w:rsidP="00FD66A3">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URL":"https://revistas.uis.edu.co/index.php/revistagti/article/view/775/1120","accessed":{"date-parts":[["2022","5","26"]]},"author":[{"dropping-particle":"","family":"Camacho","given":"Jaime;","non-dropping-particle":"","parse-names":false,"suffix":""},{"dropping-particle":"","family":"Becerra","given":"Luis;","non-dropping-particle":"","parse-names":false,"suffix":""},{"dropping-particle":"","family":"Arenas","given":"Piedad;","non-dropping-particle":"","parse-names":false,"suffix":""}],"id":"ITEM-1","issued":{"date-parts":[["2009"]]},"title":"LA TRANSFERENCIA DE TECNOLOGÍA EN LOS PROCESOS DE INVESTIGACIÓN DE LA UNIVERSIDAD INDUSTRIAL DE SANTANDER | Revista GTI","type":"webpage"},"uris":["http://www.mendeley.com/documents/?uuid=5bb939f1-1cd6-341a-bc15-e90ed3d9ef4c"]}],"mendeley":{"formattedCitation":"(Camacho et al., 2009)","plainTextFormattedCitation":"(Camacho et al., 2009)","previouslyFormattedCitation":"(Camacho et al., 2009)"},"properties":{"noteIndex":0},"schema":"https://github.com/citation-style-language/schema/raw/master/csl-citation.json"}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(Camacho et al., 2009)</w:t>
            </w:r>
            <w:r w:rsidRPr="008962DB">
              <w:rPr>
                <w:rFonts w:ascii="Times New Roman" w:hAnsi="Times New Roman" w:cs="Times New Roman"/>
                <w:sz w:val="24"/>
                <w:szCs w:val="24"/>
              </w:rPr>
              <w:fldChar w:fldCharType="end"/>
            </w:r>
          </w:p>
        </w:tc>
      </w:tr>
    </w:tbl>
    <w:p w14:paraId="44A64630" w14:textId="77777777" w:rsidR="00DD096A" w:rsidRPr="008962DB" w:rsidRDefault="00DD096A" w:rsidP="00DD096A">
      <w:pPr>
        <w:spacing w:before="240"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Compilando las ideas de los autores presentados en la tabla anterior, las etapas del proceso de TT (desde el punto de vista del cedente) se definen de la siguiente manera:</w:t>
      </w:r>
    </w:p>
    <w:p w14:paraId="39DF789A" w14:textId="77777777" w:rsidR="00DD096A" w:rsidRPr="008962DB" w:rsidRDefault="00DD096A" w:rsidP="00DD096A">
      <w:pPr>
        <w:spacing w:line="480" w:lineRule="auto"/>
        <w:ind w:firstLine="720"/>
        <w:jc w:val="both"/>
        <w:rPr>
          <w:rFonts w:ascii="Times New Roman" w:hAnsi="Times New Roman" w:cs="Times New Roman"/>
          <w:b/>
          <w:bCs/>
          <w:i/>
          <w:iCs/>
          <w:sz w:val="24"/>
          <w:szCs w:val="24"/>
          <w:lang w:eastAsia="es-CO"/>
        </w:rPr>
      </w:pPr>
      <w:r w:rsidRPr="008962DB">
        <w:rPr>
          <w:rFonts w:ascii="Times New Roman" w:hAnsi="Times New Roman" w:cs="Times New Roman"/>
          <w:b/>
          <w:bCs/>
          <w:i/>
          <w:iCs/>
          <w:sz w:val="24"/>
          <w:szCs w:val="24"/>
          <w:lang w:eastAsia="es-CO"/>
        </w:rPr>
        <w:t xml:space="preserve">Identificación de la oportunidad de la innovación. </w:t>
      </w:r>
      <w:r w:rsidRPr="008962DB">
        <w:rPr>
          <w:rFonts w:ascii="Times New Roman" w:hAnsi="Times New Roman" w:cs="Times New Roman"/>
          <w:sz w:val="24"/>
          <w:szCs w:val="24"/>
          <w:lang w:eastAsia="es-CO"/>
        </w:rPr>
        <w:t xml:space="preserve">Según el estudio de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{"citationItems":[{"id":"ITEM-1","itemData":{"DOI":"10.1016/J.TECHSOC.2011.12.002","ISSN":"0160-791X","abstract":"Traditional technology transfer models typically employ a four-stage approach: planning, selection, implementation, and evaluation. This paper examines the value of such an approach in promoting the use of environmental technologies in community development. The TepozEco Urban Ecological Sanitation Pilot Project in Tepoztlán, Morelos State, Mexico, provides a case study. Thirty interviews with recipients of ecological toilets, project staff and volunteers, and local and state government representatives were conducted during 2007. The steps required to implement this 'extreme' environmental technology are tested against traditional models of technology transfer. A revised model is proposed. This sets out an iterative process centred on the need to recognise evaluation at all steps and phases of the transfer process, not simply as one stage in a linear progression. © 2011 Elsevier Ltd.","author":[{"dropping-particle":"","family":"Davies-Colley","given":"Christian","non-dropping-particle":"","parse-names":false,"suffix":""},{"dropping-particle":"","family":"Smith","given":"Willie","non-dropping-particle":"","parse-names":false,"suffix":""}],"container-title":"Technology in Society","id":"ITEM-1","issue":"1","issued":{"date-parts":[["2012","2","1"]]},"page":"1-8","publisher":"Pergamon","title":"Implementing environmental technologies in development situations: The example of ecological toilets","type":"article-journal","volume":"34"},"uris":["http://www.mendeley.com/documents/?uuid=b246b11e-64df-3b55-aa60-c1a0703683ea"]}],"mendeley":{"formattedCitation":"(Davies-Colley &amp; Smith, 2012)","plainTextFormattedCitation":"(Davies-Colley &amp; Smith, 2012)","previouslyFormattedCitation":"(Davies-Colley &amp; Smith, 2012)"},"properties":{"noteIndex":0},"schema":"https://github.com/citation-style-language/schema/raw/master/csl-citation.json"}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(Davies-Colley &amp; Smith, 2012)</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es necesario entender las necesidades locales de la tecnología a transferir, permitiendo, con esta evaluación previa, identificar las posibles barreras que puedan presentarse durante la transferencia y en la implementación de la tecnología. Así, las estrategias de transferencia se deben construir a  partir de la identificación de una oportunidad de la entidad emisora, de la cual el receptor extraerá una solución tecnológica, y de esa necesidad se trasladarán las soluciones, o en su defecto, se desarrollarán para su posterior transferencia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{"citationItems":[{"id":"ITEM-1","itemData":{"DOI":"10.1007/S11192-021-03969-0/TABLES/2","ISSN":"15882861","abstract":"Until the year 2030, the objectives and targets proposed in the Agenda for Sustainable Development Goals need to be achieved, aiming to minimize various global problems. Bearing in mind this urgency, it is necessary that studies to help achieve these objectives be carried out. Therefore, the purpose of this work was to carry out a Systematic Literature Review of the technology transfer models existing in the literature, since the process can assist in promoting sustainable development, as well as possible barriers and opportunities for sustainable technology transfer processes. The results show that, despite the diversity of models available in the literature, there is an absence of a model that considers the sphere of sustainable development, and the possible barriers and opportunities in the formulation of its stages. Based on this, a conceptual Barriers and Opportunities-based model focused on sustainable development was proposed, aiming to fill the scientific gap found, thus contributing to the Sustainable Development Goals. The model has four macro steps: Plan; Enable; Implement and Evaluate, which range from identifying the technological need to documentation, registration, and feedback on implementation. As a result, the model can anticipate and address possible barriers, making use of opportunities as facilitators. Also, this research contributes to the governmental sphere, since with the use of the model it is expected that it can assist in the fulfillment of the Sustainable Development Goals.","author":[{"dropping-particle":"","family":"Corsi","given":"Alana","non-dropping-particle":"","parse-names":false,"suffix":""},{"dropping-particle":"","family":"Souza","given":"Fabiane Florencio","non-dropping-particle":"de","parse-names":false,"suffix":""},{"dropping-particle":"","family":"Pagani","given":"Regina Negri","non-dropping-particle":"","parse-names":false,"suffix":""},{"dropping-particle":"","family":"Kovaleski","given":"João Luiz","non-dropping-particle":"","parse-names":false,"suffix":""}],"container-title":"Scientometrics","id":"ITEM-1","issue":"6","issued":{"date-parts":[["2021","6","1"]]},"page":"5081-5112","publisher":"Springer Science and Business Media B.V.","title":"Technology transfer oriented to sustainable development: proposal of a theoretical model based on barriers and opportunities","type":"article-journal","volume":"126"},"uris":["http://www.mendeley.com/documents/?uuid=286e7b78-13c7-3f5a-91c3-8418d3946f70"]}],"mendeley":{"formattedCitation":"(Corsi et al., 2021)","plainTextFormattedCitation":"(Corsi et al., 2021)","previouslyFormattedCitation":"(Corsi et al., 2021)"},"properties":{"noteIndex":0},"schema":"https://github.com/citation-style-language/schema/raw/master/csl-citation.json"}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(Corsi et al., 2021)</w:t>
      </w:r>
      <w:r w:rsidRPr="008962DB">
        <w:rPr>
          <w:rFonts w:ascii="Times New Roman" w:hAnsi="Times New Roman" w:cs="Times New Roman"/>
          <w:sz w:val="24"/>
          <w:szCs w:val="24"/>
          <w:lang w:eastAsia="es-CO"/>
        </w:rPr>
        <w:fldChar w:fldCharType="end"/>
      </w:r>
    </w:p>
    <w:p w14:paraId="4D228BA1" w14:textId="77777777" w:rsidR="00DD096A" w:rsidRPr="008962DB" w:rsidRDefault="00DD096A" w:rsidP="00DD096A">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b/>
          <w:bCs/>
          <w:i/>
          <w:iCs/>
          <w:sz w:val="24"/>
          <w:szCs w:val="24"/>
          <w:lang w:eastAsia="es-CO"/>
        </w:rPr>
        <w:t xml:space="preserve">Estrategia de protección de la tecnología. </w:t>
      </w:r>
      <w:r w:rsidRPr="008962DB">
        <w:rPr>
          <w:rFonts w:ascii="Times New Roman" w:hAnsi="Times New Roman" w:cs="Times New Roman"/>
          <w:sz w:val="24"/>
          <w:szCs w:val="24"/>
          <w:lang w:eastAsia="es-CO"/>
        </w:rPr>
        <w:t xml:space="preserve">la TT está determinada en gran medida por los derechos de propiedad intelectual-PI con que se desee proteger los conocimientos científico-tecnológicos que hay detrás del desarrollo de un nuevo producto o servicio. Estos derechos son susceptibles de explotación económica y, por tanto, de circulación en el tráfico económico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URL":"https://revistas.uexternado.edu.co/index.php/propin/article/view/461/3630","accessed":{"date-parts":[["2022","5","25"]]},"author":[{"dropping-particle":"","family":"Guerrero","given":"Manuel","non-dropping-particle":"","parse-names":false,"suffix":""}],"id":"ITEM-1","issued":{"date-parts":[["2009"]]},"title":"Vista de Tipología de los contratos de transferencia de tecnología | Revista La Propiedad Inmaterial","type":"webpage"},"uris":["http://www.mendeley.com/documents/?uuid=9420fded-a425-3371-b0c3-221cc7a29d0b"]},{"id":"ITEM-2","itemData":{"URL":"https://www.incotec.es/blog/etapas-transferencia-tecnologica","accessed":{"date-parts":[["2022","5","25"]]},"author":[{"dropping-particle":"","family":"Incotec","given":"","non-dropping-particle":"","parse-names":false,"suffix":""}],"id":"ITEM-2","issued":{"date-parts":[["2021"]]},"title":"Las etapas de la transferencia tecnológica como parte del proceso de la innovación","type":"webpage"},"uris":["http://www.mendeley.com/documents/?uuid=329999af-be9d-3d1b-b22f-4de9a5f4449c"]}],"mendeley":{"formattedCitation":"(Guerrero, 2009; Incotec, 2021)","plainTextFormattedCitation":"(Guerrero, 2009; Incotec, 2021)","previouslyFormattedCitation":"(Guerrero, 2009; Incotec, 2021)"},"properties":{"noteIndex":0},"schema":"https://github.com/citation-style-language/schema/raw/master/csl-citation.json"}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(Guerrero, 2009; Incotec, 2021)</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La PI se refiere a las creaciones derivadas del intelecto humano en los terrenos industrial, científico, literario y artístico, así como símbolos, nombres e imágenes utilizados en el comercio y dicha protección le permite al titular usar, gozar y disponer de ella para </w:t>
      </w:r>
      <w:r w:rsidRPr="008962DB">
        <w:rPr>
          <w:rFonts w:ascii="Times New Roman" w:hAnsi="Times New Roman" w:cs="Times New Roman"/>
          <w:sz w:val="24"/>
          <w:szCs w:val="24"/>
          <w:lang w:eastAsia="es-CO"/>
        </w:rPr>
        <w:lastRenderedPageBreak/>
        <w:t xml:space="preserve">la explotación de su invención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{"citationItems":[{"id":"ITEM-1","itemData":{"author":[{"dropping-particle":"","family":"Ministerio de ciencia tecnología e innovación","given":"","non-dropping-particle":"","parse-names":false,"suffix":""}],"id":"ITEM-1","issued":{"date-parts":[["2020"]]},"title":"Instructivo general para la gestión de la propiedad intelectual","type":"report"},"uris":["http://www.mendeley.com/documents/?uuid=b0ee1610-dae5-36ab-8f5e-3e5d593fedce"]},{"id":"ITEM-2","itemData":{"DOI":"10.31260/repertmedcir.01217273.911","ISSN":"0121-7372","abstract":"Para innovar es necesario contar con capacidades. ¿Cuáles son las capacidades tecnológicas de la Fundación Universitaria de Ciencias de la Salud-FUCS de Colombia? Objetivo: identificarlas en el área de las ciencias médicas de la FUCS tomando en cuenta las siguientes dimensiones: capital humano, financiamiento en I+D+I, medición de la innovación, transferencia tecnológica, uso y apropiación de nuevas tecnologías, procesos de aprendizaje en la organización y productividad. Métodos y datos: investigación cualitativa en cuya primera fase se construyó un marco conceptual sobre capacidades tecnológicas de las universidades pues solo se encontraron referentes aplicados a la industria. En la segunda se aplicó una encuesta semiestructurada a actores clave para identificar aquellos productos y/o servicios de investigación o de otras áreas con potencial para comercializar y/o patentar. En una tercera fase se aplicó la metodología de trayectoria de vida (lifecourse) para profundizar en el ciclo de vida de los productos con el fin de identificar las dificultades para la toma de decisiones. Resultados: se logró establecer una línea para la vigilancia tecnológica en la organización, al contar con una base de datos de productos o servicios con potencial para comercializar y/o patentar que se gestan en la FUCS, a partir de una entrevista semiestructurada aplicada a actores clave. Otro de los hallazgos fue que uno de los principales retos es la construcción de una cultura organizacional orientada hacia la innovación continua y la normativa respecto a derechos de propiedad intelectual que definan las reglas de juego.","author":[{"dropping-particle":"","family":"Argote Cusi","given":"Milenka Linneth","non-dropping-particle":"","parse-names":false,"suffix":""}],"container-title":"Revista Repertorio de Medicina y Cirugía","id":"ITEM-2","issue":"1","issued":{"date-parts":[["2021"]]},"page":"29-42","title":"Identificación de las capacidades tecnológicas de la Fundación Universitaria de Ciencias de la Salud, Colombia","type":"article-journal","volume":"30"},"uris":["http://www.mendeley.com/documents/?uuid=1bcb7638-a545-43d6-a00b-684fc8c55e5f"]}],"mendeley":{"formattedCitation":"(Argote Cusi, 2021; Ministerio de ciencia tecnología e innovación, 2020)","plainTextFormattedCitation":"(Argote Cusi, 2021; Ministerio de ciencia tecnología e innovación, 2020)","previouslyFormattedCitation":"(Argote Cusi, 2021; Ministerio de ciencia tecnología e innovación, 2020)"},"properties":{"noteIndex":0},"schema":"https://github.com/citation-style-language/schema/raw/master/csl-citation.json"}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(Argote Cusi, 2021; Ministerio de ciencia tecnología e innovación, 2020)</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w:t>
      </w:r>
    </w:p>
    <w:p w14:paraId="4153779B" w14:textId="77777777" w:rsidR="00DD096A" w:rsidRPr="008962DB" w:rsidRDefault="00DD096A" w:rsidP="00DD096A">
      <w:pPr>
        <w:spacing w:line="480" w:lineRule="auto"/>
        <w:ind w:firstLine="720"/>
        <w:jc w:val="both"/>
        <w:rPr>
          <w:rFonts w:ascii="Times New Roman" w:hAnsi="Times New Roman" w:cs="Times New Roman"/>
          <w:b/>
          <w:bCs/>
          <w:i/>
          <w:iCs/>
          <w:sz w:val="24"/>
          <w:szCs w:val="24"/>
          <w:lang w:eastAsia="es-CO"/>
        </w:rPr>
      </w:pPr>
      <w:r w:rsidRPr="008962DB">
        <w:rPr>
          <w:rFonts w:ascii="Times New Roman" w:hAnsi="Times New Roman" w:cs="Times New Roman"/>
          <w:b/>
          <w:bCs/>
          <w:i/>
          <w:iCs/>
          <w:sz w:val="24"/>
          <w:szCs w:val="24"/>
          <w:lang w:eastAsia="es-CO"/>
        </w:rPr>
        <w:t xml:space="preserve">Gestión y formalización de acuerdos. </w:t>
      </w:r>
      <w:r w:rsidRPr="008962DB">
        <w:rPr>
          <w:rFonts w:ascii="Times New Roman" w:hAnsi="Times New Roman" w:cs="Times New Roman"/>
          <w:sz w:val="24"/>
          <w:szCs w:val="24"/>
          <w:lang w:eastAsia="es-CO"/>
        </w:rPr>
        <w:t xml:space="preserve">Una vez protegida la tecnología, se procede a la formación del acuerdo la cual requiere: la elección del mecanismo de TT más adecuado, la selección del socio o receptor idóneo, la valoración de la tecnología y la configuración del diseño y negociación del acuerdo. Asimismo, en esta etapa se establecen las aspectos y mecanismos necesarios para hacer funcionar el acuerdo. Es una de las etapas clave del proceso de TT, ya que aquí se definen los términos y las condiciones de cómo se va a llevar a cabo la transferencia. Una mala gestión y formalización del acuerdo puede generar barreras organizativas </w:t>
      </w:r>
      <w:r w:rsidRPr="008962DB">
        <w:rPr>
          <w:rFonts w:ascii="Times New Roman" w:hAnsi="Times New Roman" w:cs="Times New Roman"/>
          <w:sz w:val="24"/>
          <w:szCs w:val="24"/>
        </w:rPr>
        <w:t xml:space="preserve">como problemas derivados de los términos de la negociación contractual y del alcance previsto en los acuerdos iniciales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{"citationItems":[{"id":"ITEM-1","itemData":{"DOI":"10.21158/9789587562552","ISBN":"9789587562552","abstract":"En la dinámica de la competitividad global que enfrentan a diario las organizaciones y los países, se generan permanentemente nuevas formas de gestión, ligadas en su mayoría al contexto de la innovación tecnológica. Estar a la vanguardia tecnológica hoy, significa tener un excelente soporte para la competitividad, como lo fue en otros momentos de la historia el capital y la tierra. No puede ser de otra manera, la realidad señala que la globalización se estableció y sus efectos se están manifestando de forma radical en periodos cortos de tiempo y, de forma incremental a diario, situaciones que provocan desplazamientos permanentes en el juego por el liderazgo en el mercado.","author":[{"dropping-particle":"","family":"Ortiz Pabón","given":"Efrain","non-dropping-particle":"","parse-names":false,"suffix":""},{"dropping-particle":"","family":"Nagles García","given":"Nofal","non-dropping-particle":"","parse-names":false,"suffix":""}],"container-title":"Gestión de Tecnología e Innovación. Teoría, proceso y práctica","id":"ITEM-1","issued":{"date-parts":[["2013"]]},"title":"Gestión de Tecnología e Innovación. Teoría, proceso y práctica","type":"book"},"uris":["http://www.mendeley.com/documents/?uuid=728b1e10-ee5e-4302-9979-5ff36b2c9082"]}],"mendeley":{"formattedCitation":"(Ortiz Pabón &amp; Nagles García, 2013)","plainTextFormattedCitation":"(Ortiz Pabón &amp; Nagles García, 2013)","previouslyFormattedCitation":"(Ortiz Pabón &amp; Nagles García, 2013)"},"properties":{"noteIndex":0},"schema":"https://github.com/citation-style-language/schema/raw/master/csl-citation.json"}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(Ortiz Pabón &amp; Nagles García, 2013)</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 xml:space="preserve">. </w:t>
      </w:r>
    </w:p>
    <w:p w14:paraId="3A20402A" w14:textId="16FB102C" w:rsidR="00DD096A" w:rsidRPr="008962DB" w:rsidRDefault="00DD096A" w:rsidP="00DD096A">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b/>
          <w:bCs/>
          <w:i/>
          <w:iCs/>
          <w:sz w:val="24"/>
          <w:szCs w:val="24"/>
          <w:lang w:eastAsia="es-CO"/>
        </w:rPr>
        <w:t xml:space="preserve">Promover infraestructura. </w:t>
      </w:r>
      <w:r w:rsidRPr="008962DB">
        <w:rPr>
          <w:rFonts w:ascii="Times New Roman" w:hAnsi="Times New Roman" w:cs="Times New Roman"/>
          <w:sz w:val="24"/>
          <w:szCs w:val="24"/>
          <w:lang w:eastAsia="es-CO"/>
        </w:rPr>
        <w:t xml:space="preserve">La falta de infraestructura para la recepción y adopción de tecnología es una de las barreras más recurrentes al proceso de TT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{"citationItems":[{"id":"ITEM-1","itemData":{"DOI":"10.1504/IJMTM.2017.089075","ISSN":"13682148","abstract":"In the current global competitive environment, the economy and sustainability of a country particularly the developing nations depends to a great extent on the implementation of green and traditional technology transfer (GTTT). Thus there is a need to understand and educate key decision makers to enable them to implement technology transfer arrangements. In the present study, an attempt has been made to identify the barriers to GTTT based on available literature. A total interpretive structural modelling (TISM) approach has been used to develop a model to depict the dependence and driving power of identified barriers. An elaborate discussion on relationship among barriers to GTTT has been presented. The model presented in this study may help understand not only the barriers to technology transfer (TT) but also the relationship among them in terms of driving and dependence powers. Firms involved in TT will find this article useful in making and analysing technology transfer policy decisions.","author":[{"dropping-particle":"","family":"Khan","given":"Javed","non-dropping-particle":"","parse-names":false,"suffix":""},{"dropping-particle":"","family":"Haleem","given":"Abid","non-dropping-particle":"","parse-names":false,"suffix":""},{"dropping-particle":"","family":"Husain","given":"Zafar","non-dropping-particle":"","parse-names":false,"suffix":""}],"container-title":"International Journal of Manufacturing Technology and Management","id":"ITEM-1","issue":"6","issued":{"date-parts":[["2017"]]},"page":"511-536","publisher":"Inderscience Publishers","title":"Barriers to technology transfer: A total interpretative structural model approach","type":"article-journal","volume":"31"},"uris":["http://www.mendeley.com/documents/?uuid=2e0c69a3-fc68-3b74-89e8-b3e8adabcc3e"]}],"mendeley":{"formattedCitation":"(Khan et al., 2017)","plainTextFormattedCitation":"(Khan et al., 2017)","previouslyFormattedCitation":"(Khan et al., 2017)"},"properties":{"noteIndex":0},"schema":"https://github.com/citation-style-language/schema/raw/master/csl-citation.json"}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(Khan et al., 2017)</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impidiendo su implementación efectiva. Es por eso que la promoción de la infraestructura comienza en el momento en que se considera obtener o ceder nueva tecnología, evaluando las adquisiciones necesarias (materiales y recursos humanos) que demandará la posible tecnología, hasta la fase de implementación de la tecnología, en la que se modifican </w:t>
      </w:r>
      <w:r w:rsidR="00C35975" w:rsidRPr="008962DB">
        <w:rPr>
          <w:rFonts w:ascii="Times New Roman" w:hAnsi="Times New Roman" w:cs="Times New Roman"/>
          <w:sz w:val="24"/>
          <w:szCs w:val="24"/>
          <w:lang w:eastAsia="es-CO"/>
        </w:rPr>
        <w:t>el</w:t>
      </w:r>
      <w:r w:rsidRPr="008962DB">
        <w:rPr>
          <w:rFonts w:ascii="Times New Roman" w:hAnsi="Times New Roman" w:cs="Times New Roman"/>
          <w:sz w:val="24"/>
          <w:szCs w:val="24"/>
          <w:lang w:eastAsia="es-CO"/>
        </w:rPr>
        <w:t xml:space="preserve"> proyecto todavía puede ocurrir. </w:t>
      </w:r>
    </w:p>
    <w:p w14:paraId="024A5059" w14:textId="77777777" w:rsidR="00DD096A" w:rsidRPr="008962DB" w:rsidRDefault="00DD096A" w:rsidP="00DD096A">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b/>
          <w:bCs/>
          <w:i/>
          <w:iCs/>
          <w:sz w:val="24"/>
          <w:szCs w:val="24"/>
          <w:lang w:eastAsia="es-CO"/>
        </w:rPr>
        <w:t xml:space="preserve">Transferir e implementar tecnología. </w:t>
      </w:r>
      <w:r w:rsidRPr="008962DB">
        <w:rPr>
          <w:rFonts w:ascii="Times New Roman" w:hAnsi="Times New Roman" w:cs="Times New Roman"/>
          <w:sz w:val="24"/>
          <w:szCs w:val="24"/>
          <w:lang w:eastAsia="es-CO"/>
        </w:rPr>
        <w:t xml:space="preserve">En esta etapa es importante transferir personal calificado por parte del cedente, según lo negociado en el acuerdo de TT, para asistir en la implementación de la tecnología, otorgar asistencia técnica, capacitación y transferencia de know-how, actuando como mecanismo facilitador para la transferencia efectiva de tecnología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{"citationItems":[{"id":"ITEM-1","itemData":{"DOI":"10.1108/IJLMA-09-2015-0050/FULL/XML","ISSN":"17542448","abstract":"Purpose: This paper aims to critically evaluate the working of the clean development mechanism (CDM) particularly in developing and least developed countries in the light of recent developments. Design/methodology/approach: Part I of the paper delves upon various international rules governing the CDM. Part II of the paper draws out the rationale behind the introduction of the CDM under the Kyoto Protocol so as to provide a basis for its critical assessment in actual practice, as dealt with in Part III. Finally, the paper makes a concluding remark and suggests a way forward. Findings: It is submitted that the CDM suffers from a gamut of concerns, which need to be adequately addressed. The business-centric approach followed by the investors of CDM projects has been a major reason behind denial of social, economic and environmental benefits pertinent for attaining sustainable development in the developing countries. The urge to derive economic benefits resulting from their investment has made the developing countries more competitive but turn a blind eye to reduced standards maintained for sustainable development. Besides, long-term benefits arising out of such projects, along with greater public participation of local stakeholders in CDM activities, have usually taken a backseat. A need is there to involve the CDM in the agricultural sector, which would have long-term benefits. Besides, it is required to enhance local stakeholder consultation, which ensures that people affected by a CDM project can give a timely, meaningful input to a proposed project. In the 80th meeting of the CDM Executive Board, held in Bonn, it was further decided that the complaints of the local stakeholders shall be given effect through subsequent changes in the project design of the CDM pipeline, along with their consultation before the real start of the project. Greater participation will also be ensured through increased publically available data on CDM projects. Originality/value: The paper is original and brings out some valuable suggestions to improve the working of the CDM.","author":[{"dropping-particle":"","family":"Aggarwal","given":"Pravesh","non-dropping-particle":"","parse-names":false,"suffix":""},{"dropping-particle":"","family":"Aggarwal","given":"Rupesh","non-dropping-particle":"","parse-names":false,"suffix":""}],"container-title":"International Journal of Law and Management","id":"ITEM-1","issue":"1","issued":{"date-parts":[["2017"]]},"page":"82-101","publisher":"Emerald Group Publishing Ltd.","title":"Examining perspectives and dimensions of clean development mechanism: A critical assessment vis-à-vis developing and least developed countries","type":"article-journal","volume":"59"},"uris":["http://www.mendeley.com/documents/?uuid=a46f3312-6a46-3c75-8f49-aeef6790d6fc"]}],"mendeley":{"formattedCitation":"(Aggarwal &amp; Aggarwal, 2017)","plainTextFormattedCitation":"(Aggarwal &amp; Aggarwal, 2017)","previouslyFormattedCitation":"(Aggarwal &amp; Aggarwal, 2017)"},"properties":{"noteIndex":0},"schema":"https://github.com/citation-style-language/schema/raw/master/csl-citation.json"}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(Aggarwal &amp; Aggarwal, 2017)</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w:t>
      </w:r>
    </w:p>
    <w:p w14:paraId="77F90593" w14:textId="77777777" w:rsidR="00DD096A" w:rsidRPr="008962DB" w:rsidRDefault="00DD096A" w:rsidP="00DD096A">
      <w:pPr>
        <w:spacing w:line="480" w:lineRule="auto"/>
        <w:ind w:firstLine="720"/>
        <w:jc w:val="both"/>
        <w:rPr>
          <w:rFonts w:ascii="Times New Roman" w:hAnsi="Times New Roman" w:cs="Times New Roman"/>
          <w:sz w:val="24"/>
          <w:szCs w:val="24"/>
        </w:rPr>
      </w:pPr>
      <w:r w:rsidRPr="008962DB">
        <w:rPr>
          <w:rFonts w:ascii="Times New Roman" w:hAnsi="Times New Roman" w:cs="Times New Roman"/>
          <w:sz w:val="24"/>
          <w:szCs w:val="24"/>
        </w:rPr>
        <w:lastRenderedPageBreak/>
        <w:t xml:space="preserve">Los pasos nombrados anteriormente, recogen las principales actividades que requiere el proceso de TT, según los modelos identificados en la literatura. Sin embargo, estas etapas aún no han sido completamente estudiadas para corroborar su desempeño y efectividad en el proceso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{"citationItems":[{"id":"ITEM-1","itemData":{"DOI":"10.14203/stipm.2016.45","ISSN":"1907-9753","abstract":"&lt;p&gt;Innovation is one of the most critical issues in research institutions which can be performed through certain routes within the technology transfer mechanism. As the demands of research implementation are increasing, a better mechanism should be deployed to foster innovation. This study will investigate the possibilities for technology transfer mechanism improvements by (i) identifying a number of steps required for innovation; (ii) measuring the efficiency of each step; and (iii) exploring the most efficient routes to innovate through the Dijkstra algorithm. Cases of research on essential oils and derivatives in the Research Center for Chemistry (RCC) of the Indonesian Institute of Sciences (LIPI) will be examined as the working example for the study. As a result of this study, a model containing a recommended sequence for the most efficient steps to innovation can be proposed. Using the proposed model, the efficiency rate of the technology transfer mechanism was increased twice, suggesting the possibility of stimulating innovation performance.&lt;/p&gt;","author":[{"dropping-particle":"","family":"Setiawan","given":"Arief Ameir Rahman","non-dropping-particle":"","parse-names":false,"suffix":""},{"dropping-particle":"","family":"Sulaswatty","given":"Anny","non-dropping-particle":"","parse-names":false,"suffix":""},{"dropping-particle":"","family":"Haryono","given":"Agus","non-dropping-particle":"","parse-names":false,"suffix":""}],"container-title":"STI Policy and Management Journal","id":"ITEM-1","issue":"1","issued":{"date-parts":[["2016"]]},"title":"Finding the Most Efficient Technology Transfer Route Using Dijkstra Algorithm to Foster Innovation: The Case of Essential Oil Developments in the Research Center for Chemistry at the Indonesian Institute of Sciences","type":"article-journal","volume":"1"},"uris":["http://www.mendeley.com/documents/?uuid=eeff4440-4186-4097-ad2b-7868802d68fe"]}],"mendeley":{"formattedCitation":"(Setiawan et al., 2016)","plainTextFormattedCitation":"(Setiawan et al., 2016)","previouslyFormattedCitation":"(Setiawan et al., 2016)"},"properties":{"noteIndex":0},"schema":"https://github.com/citation-style-language/schema/raw/master/csl-citation.json"}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(Setiawan et al., 2016)</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 xml:space="preserve">. </w:t>
      </w:r>
    </w:p>
    <w:p w14:paraId="2757CECB" w14:textId="77777777" w:rsidR="00DD096A" w:rsidRPr="008962DB" w:rsidRDefault="00DD096A" w:rsidP="00DD096A">
      <w:pPr>
        <w:spacing w:line="480" w:lineRule="auto"/>
        <w:ind w:firstLine="720"/>
        <w:jc w:val="both"/>
        <w:rPr>
          <w:rFonts w:ascii="Times New Roman" w:hAnsi="Times New Roman" w:cs="Times New Roman"/>
          <w:sz w:val="24"/>
          <w:szCs w:val="24"/>
        </w:rPr>
      </w:pPr>
    </w:p>
    <w:p w14:paraId="086ED599" w14:textId="77777777" w:rsidR="000A26C1" w:rsidRPr="008962DB" w:rsidRDefault="000A26C1" w:rsidP="00FD3345">
      <w:pPr>
        <w:pStyle w:val="Ttulo1"/>
        <w:numPr>
          <w:ilvl w:val="0"/>
          <w:numId w:val="14"/>
        </w:numPr>
        <w:rPr>
          <w:rFonts w:cs="Times New Roman"/>
          <w:szCs w:val="24"/>
        </w:rPr>
      </w:pPr>
      <w:bookmarkStart w:id="4" w:name="_Toc190621947"/>
      <w:r w:rsidRPr="008962DB">
        <w:rPr>
          <w:rFonts w:cs="Times New Roman"/>
          <w:szCs w:val="24"/>
        </w:rPr>
        <w:t>Acuerdos de colaboración de Transferencia Tecnológica</w:t>
      </w:r>
      <w:bookmarkEnd w:id="4"/>
    </w:p>
    <w:p w14:paraId="1F0510AC" w14:textId="77777777" w:rsidR="000A26C1" w:rsidRPr="008962DB" w:rsidRDefault="000A26C1" w:rsidP="000A26C1">
      <w:pPr>
        <w:jc w:val="both"/>
        <w:rPr>
          <w:rFonts w:ascii="Times New Roman" w:hAnsi="Times New Roman" w:cs="Times New Roman"/>
          <w:sz w:val="24"/>
          <w:szCs w:val="24"/>
          <w:lang w:eastAsia="es-CO"/>
        </w:rPr>
      </w:pPr>
    </w:p>
    <w:p w14:paraId="205D51E8" w14:textId="77777777" w:rsidR="000A26C1" w:rsidRPr="008962DB" w:rsidRDefault="000A26C1" w:rsidP="000A26C1">
      <w:pPr>
        <w:spacing w:after="0"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 xml:space="preserve">Por otra parte, diferentes autores han relacionado en sus estudios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{"citationItems":[{"id":"ITEM-1","itemData":{"DOI":"10.1109/TEM.2018.2858812","ISSN":"15580040","abstract":"Motivated by the limited research on technology transfer from public research institutions (PRIs) to small- and medium-sized enterprises (SMEs), and the scant literature on assessing the fit between technology transfer source and recipient, we aim to answer: How do we bridge the knowledge gap between PRIs and SMEs to facilitate the pretransfer matching process? Taking each technology transfer project as the unit of analysis and adopting information processing theory, we equate information processing requirements with technology readiness levels of the technologies intended to be transferred from PRIs, and information processing capacities with demand readiness levels of the capabilities possessed by SMEs, and present an integrated framework that advocates transfer source-recipient matchings to facilitate PRI-SME technology transfer.","author":[{"dropping-particle":"","family":"Liu","given":"Hung Yao","non-dropping-particle":"","parse-names":false,"suffix":""},{"dropping-particle":"","family":"Subramanian","given":"Annapoornima M.","non-dropping-particle":"","parse-names":false,"suffix":""},{"dropping-particle":"","family":"Hang","given":"Chang Chieh","non-dropping-particle":"","parse-names":false,"suffix":""}],"container-title":"IEEE Transactions on Engineering Management","id":"ITEM-1","issue":"1","issued":{"date-parts":[["2020","2","1"]]},"page":"70-80","publisher":"Institute of Electrical and Electronics Engineers Inc.","title":"Marrying the Best of Both Worlds: An Integrated Framework for Matching Technology Transfer Sources and Recipients","type":"article-journal","volume":"67"},"uris":["http://www.mendeley.com/documents/?uuid=06c23a30-41bd-3089-9d61-9e4df2a4f01f"]},{"id":"ITEM-2","itemData":{"abstract":"This paper critically examines the linear claim, often made, that innovation leads to development. The orthodox view embedded in this claim, which equates development with industrial development and economic growth, is problematized in this paper partly by counter posing this orthodox concept of economic growth with Amartya Sen and Martha Nussbaum's heterodox conceptualisation of human development, which advances a comprehensive view of development that requires evaluation not only of income and wealth, but also of other aspects of well-being and agency that people have reason to value. This research uses interpretive research methods including semi-structured interviews and participant observation to gain insight into technology and innovation hub dynamics. Findings include that those working at tech hubs value belonging to a community of shared interest and contributing to social enterprises. We argue that tech hubs, as collaborative spaces, may contribute to human-centred development processes in ways not directly leading to employment or market-based innovative products.","author":[{"dropping-particle":"","family":"Jimenez","given":"Andrea","non-dropping-particle":"","parse-names":false,"suffix":""},{"dropping-particle":"","family":"Zheng","given":"Yingqin","non-dropping-particle":"","parse-names":false,"suffix":""}],"container-title":"24th European Conference on Information Systems, ECIS 2016","id":"ITEM-2","issued":{"date-parts":[["2016"]]},"title":"A capabilities approach to innovation: A case study of a technology and innovation hub in Zambia","type":"article-journal"},"uris":["http://www.mendeley.com/documents/?uuid=3100dc23-7a67-4794-9f34-e455e8765a73"]}],"mendeley":{"formattedCitation":"(Jimenez &amp; Zheng, 2016; Liu et al., 2020)","plainTextFormattedCitation":"(Jimenez &amp; Zheng, 2016; Liu et al., 2020)","previouslyFormattedCitation":"(Jimenez &amp; Zheng, 2016; Liu et al., 2020)"},"properties":{"noteIndex":0},"schema":"https://github.com/citation-style-language/schema/raw/master/csl-citation.json"}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(Jimenez &amp; Zheng, 2016; Liu et al., 2020)</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cómo la colaboración científico-tecnológica entre los agentes que participan en el proceso de TT, puede ser una estrategia efectiva para el desarrollo de la tecnología y de la innovación, ya que solventa la ausencia o insuficiencia de ciertas capacidades y habilidades tecnológicas mejorando la posición competitiva de los agentes involucrados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{"citationItems":[{"id":"ITEM-1","itemData":{"DOI":"10.1007/978-981-10-1837-4_21/TABLES/2","ISBN":"9789811018367","ISSN":"21945357","abstract":"The traditional technical efficiency measurement regards the technology transfer system as a “black box” and doesn’t penetrate the internal operation mechanism of the system. This paper opens the technology transfer system “black box” of industry-university-research institution (IUR) collaborative innovation, researches the internal structure of the system, and deconstructs the system into two stages: technology innovation stage and industrial value creation stage. On this basis, this paper calculates the technology transfer efficiency based on the two-stage DEA model. The result shows that the overall technology transfer efficiency in IUR collaborative innovation is low, and the bottlenecks for improving the technology transfer efficiency are different for different provinces. Through analyzing the internal and external factors of the system, this paper finds that the good cooperative relationship between enterprises and scientific research institutions can improve the efficiency of technology transfer. Refer to environmental factors, the government supports, the market competition and the demand for new products have positive impact on the efficiency of technology transfer.","author":[{"dropping-particle":"","family":"Yu","given":"Yuanchun","non-dropping-particle":"","parse-names":false,"suffix":""},{"dropping-particle":"","family":"Gu","given":"Xin","non-dropping-particle":"","parse-names":false,"suffix":""},{"dropping-particle":"","family":"Chen","given":"Yijun","non-dropping-particle":"","parse-names":false,"suffix":""}],"container-title":"Advances in Intelligent Systems and Computing","id":"ITEM-1","issued":{"date-parts":[["2017"]]},"page":"237-249","publisher":"Springer Verlag","title":"Research on the technology transfer efficiency evaluation in industry-university-research institution collaborative innovation and its affecting factors based on the two-stage DEA model","type":"article-journal","volume":"502"},"uris":["http://www.mendeley.com/documents/?uuid=717523d1-1235-344c-b580-ff74ba60533e"]},{"id":"ITEM-2","itemData":{"DOI":"10.1016/j.resu.2017.11.001","ISSN":"23959037","abstract":"In the current reality of developing countries, including Mexico, economic institutions such as patents, technological innovation and the commercialization of knowledge generated in universities acquire great importance, under the assumption that knowledge can quickly be translated into new products and processes of high technology. However, there is considerable theoretical and conceptual confusion as to the relationship between these variables. The present article draws attention to the need to place in perspective the importance of university patenting, by taking into account aspects that are not necessarily related to direct economic returns.","author":[{"dropping-particle":"","family":"García Galván","given":"Rodolfo","non-dropping-particle":"","parse-names":false,"suffix":""}],"container-title":"Revista de la Educacion Superior","id":"ITEM-2","issue":"184","issued":{"date-parts":[["2017"]]},"page":"77-96","title":"Patenting and innovation in Mexico, a developing country: Theory and politics","type":"article-journal","volume":"46"},"uris":["http://www.mendeley.com/documents/?uuid=14ae47bd-53b4-3f53-8c77-5f62de64e70d"]}],"mendeley":{"formattedCitation":"(García Galván, 2017; Yu et al., 2017)","plainTextFormattedCitation":"(García Galván, 2017; Yu et al., 2017)","previouslyFormattedCitation":"(García Galván, 2017; Yu et al., 2017)"},"properties":{"noteIndex":0},"schema":"https://github.com/citation-style-language/schema/raw/master/csl-citation.json"}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(García Galván, 2017; Yu et al., 2017)</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w:t>
      </w:r>
    </w:p>
    <w:p w14:paraId="371BE655" w14:textId="77777777" w:rsidR="000A26C1" w:rsidRPr="008962DB" w:rsidRDefault="000A26C1" w:rsidP="000A26C1">
      <w:pPr>
        <w:spacing w:line="480" w:lineRule="auto"/>
        <w:ind w:firstLine="720"/>
        <w:jc w:val="both"/>
        <w:rPr>
          <w:rFonts w:ascii="Times New Roman" w:hAnsi="Times New Roman" w:cs="Times New Roman"/>
          <w:sz w:val="24"/>
          <w:szCs w:val="24"/>
        </w:rPr>
      </w:pPr>
      <w:r w:rsidRPr="008962DB">
        <w:rPr>
          <w:rFonts w:ascii="Times New Roman" w:hAnsi="Times New Roman" w:cs="Times New Roman"/>
          <w:sz w:val="24"/>
          <w:szCs w:val="24"/>
        </w:rPr>
        <w:t xml:space="preserve">Asimismo, el contexto complejo de la transferencia de tecnología, presionado por una alta incertidumbre, y la posibilidad de interacción entre multiredes o agrupaciones y otros ecosistemas de innovación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{"citationItems":[{"id":"ITEM-1","itemData":{"DOI":"10.33571/teuken.v11n17a10","ISSN":"2215-8405","abstract":"This paper analysed the processes of technology transfer 4.0, its conditions and the main transferable technological trends in Latin America. The complexity approach in the ecosystem allowed to explain how the actors or subsystems are (re)adapted or (re)learned based on their interaction without being managed by any specific entity or component. The methodological process consisted of a scientometric analysis, a thematic analysis based on the projects financed with public resources from 2002 to 2018, and an analysis of the innovation ecosystem in the emerging region of the Mexican Bajío. The findings showed the relevance of intermediate organisms in social leadership for technology transfer; big data, IoT and cloud computing are the main technologies 4.0 that are potentially transferable to respond to territorial heterogeneous conditions.","author":[{"dropping-particle":"","family":"Álvarez-Castañón","given":"Lorena del Carmen","non-dropping-particle":"","parse-names":false,"suffix":""}],"container-title":"Teuken Bidikay - Revista Latinoamericana de Investigación en Organizaciones, Ambiente y Sociedad","id":"ITEM-1","issue":"17","issued":{"date-parts":[["2020"]]},"page":"181-196","title":"Technology transfer 4.0 in Latin American innovation ecosystems","type":"article-journal","volume":"11"},"uris":["http://www.mendeley.com/documents/?uuid=54b3ceaf-2bf5-4e0a-8263-4c8e7f682c3c"]}],"mendeley":{"formattedCitation":"(Álvarez-Castañón, 2020)","plainTextFormattedCitation":"(Álvarez-Castañón, 2020)","previouslyFormattedCitation":"(Álvarez-Castañón, 2020)"},"properties":{"noteIndex":0},"schema":"https://github.com/citation-style-language/schema/raw/master/csl-citation.json"}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(Álvarez-Castañón, 2020)</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 xml:space="preserve">, requiere de una relación bilateral entre cedente y cesionario que permita la retroalimentación durante las etapas de transferencia de tecnología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{"citationItems":[{"id":"ITEM-1","itemData":{"DOI":"10.3390/ADMSCI8020019","ISSN":"2076-3387","abstract":"Over the years, universities have been considered as research centers that seek to collaborate with industries to create innovative products. This link has generated many concepts, among them being the concept of technology transfer. The objective of this work is to present a systematic review on the technology transfer generated in university-industry collaboration (UIC). Based on a review of 66 papers, the results presented in this article include the technology transfer (TT) models presented in the literature, a description of the common elements in a transfer process, and a description of the interaction between the elements involved, through the presentation of a conceptual model of technology transfer in the context of collaboration between the university and the industry.","author":[{"dropping-particle":"","family":"Arenas","given":"Juan Jesus","non-dropping-particle":"","parse-names":false,"suffix":""},{"dropping-particle":"","family":"González","given":"Domingo","non-dropping-particle":"","parse-names":false,"suffix":""}],"container-title":"Administrative Sciences 2018, Vol. 8, Page 19","id":"ITEM-1","issue":"2","issued":{"date-parts":[["2018","6","6"]]},"page":"19","publisher":"Multidisciplinary Digital Publishing Institute","title":"Technology Transfer Models and Elements in the University-Industry Collaboration","type":"article-journal","volume":"8"},"uris":["http://www.mendeley.com/documents/?uuid=1d304ddb-53af-3baf-9d35-09275a9dc0dd"]}],"mendeley":{"formattedCitation":"(Arenas &amp; González, 2018)","plainTextFormattedCitation":"(Arenas &amp; González, 2018)","previouslyFormattedCitation":"(Arenas &amp; González, 2018)"},"properties":{"noteIndex":0},"schema":"https://github.com/citation-style-language/schema/raw/master/csl-citation.json"}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(Arenas &amp; González, 2018)</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 xml:space="preserve">además de contribuir a la formación de alianzas y colaboraciones, que promueven la consecución de experiencias exitosas así como la distribución de los riesgos involucrados en el proceso de desarrollo y TT , que por lo general son elevados cuando se habla de nuevos proyectos tecnológicos </w:t>
      </w:r>
      <w:r w:rsidRPr="008962DB">
        <w:rPr>
          <w:rFonts w:ascii="Times New Roman" w:hAnsi="Times New Roman" w:cs="Times New Roman"/>
          <w:sz w:val="24"/>
          <w:szCs w:val="24"/>
        </w:rPr>
        <w:fldChar w:fldCharType="begin" w:fldLock="1"/>
      </w:r>
      <w:r w:rsidRPr="008962DB">
        <w:rPr>
          <w:rFonts w:ascii="Times New Roman" w:hAnsi="Times New Roman" w:cs="Times New Roman"/>
          <w:sz w:val="24"/>
          <w:szCs w:val="24"/>
        </w:rPr>
        <w:instrText>ADDIN CSL_CITATION {"citationItems":[{"id":"ITEM-1","itemData":{"DOI":"10.1111/gcb.14108","ISSN":"13652486","abstract":"Sustained observations of marine biodiversity and ecosystems focused on specific conservation and management problems are needed around the world to effectively mitigate or manage changes resulting from anthropogenic pressures. These observations, while complex and expensive, are required by the international scientific, governance and policy communities to provide baselines against which the effects of human pressures and climate change may be measured and reported, and resources allocated to implement solutions. To identify biological and ecological essential ocean variables (EOVs) for implementation within a global ocean observing system that is relevant for science, informs society, and technologically feasible, we used a driver-pressure-state-impact-response (DPSIR) model. We (1) examined relevant international agreements to identify societal drivers and pressures on marine resources and ecosystems, (2) evaluated the temporal and spatial scales of variables measured by 100+ observing programs, and (3) analysed the impact and scalability of these variables and how they contribute to address societal and scientific issues. EOVs were related to the status of ecosystem components (phytoplankton and zooplankton biomass and diversity, and abundance and distribution of fish, marine turtles, birds and mammals), and to the extent and health of ecosystems (cover and composition of hard coral, seagrass, mangrove and macroalgal canopy). Benthic invertebrate abundance and distribution and microbe diversity and biomass were identified as emerging EOVs to be developed based on emerging requirements and new technologies. The temporal scale at which any shifts in biological systems will be detected will vary across the EOVs, the properties being monitored and the length of the existing time-series. Global implementation to deliver useful products will require collaboration of the scientific and policy sectors and a significant commitment to improve human and infrastructure capacity across the globe, including the development of new, more automated observing technologies, and encouraging the application of international standards and best practices.","author":[{"dropping-particle":"","family":"Miloslavich","given":"Patricia","non-dropping-particle":"","parse-names":false,"suffix":""},{"dropping-particle":"","family":"Bax","given":"Nicholas J.","non-dropping-particle":"","parse-names":false,"suffix":""},{"dropping-particle":"","family":"Simmons","given":"Samantha E.","non-dropping-particle":"","parse-names":false,"suffix":""},{"dropping-particle":"","family":"Klein","given":"Eduardo","non-dropping-particle":"","parse-names":false,"suffix":""},{"dropping-particle":"","family":"Appeltans","given":"Ward","non-dropping-particle":"","parse-names":false,"suffix":""},{"dropping-particle":"","family":"Aburto-Oropeza","given":"Octavio","non-dropping-particle":"","parse-names":false,"suffix":""},{"dropping-particle":"","family":"Andersen Garcia","given":"Melissa","non-dropping-particle":"","parse-names":false,"suffix":""},{"dropping-particle":"","family":"Batten","given":"Sonia D.","non-dropping-particle":"","parse-names":false,"suffix":""},{"dropping-particle":"","family":"Benedetti-Cecchi","given":"Lisandro","non-dropping-particle":"","parse-names":false,"suffix":""},{"dropping-particle":"","family":"Checkley","given":"David M.","non-dropping-particle":"","parse-names":false,"suffix":""},{"dropping-particle":"","family":"Chiba","given":"Sanae","non-dropping-particle":"","parse-names":false,"suffix":""},{"dropping-particle":"","family":"Duffy","given":"J. Emmett","non-dropping-particle":"","parse-names":false,"suffix":""},{"dropping-particle":"","family":"Dunn","given":"Daniel C.","non-dropping-particle":"","parse-names":false,"suffix":""},{"dropping-particle":"","family":"Fischer","given":"Albert","non-dropping-particle":"","parse-names":false,"suffix":""},{"dropping-particle":"","family":"Gunn","given":"John","non-dropping-particle":"","parse-names":false,"suffix":""},{"dropping-particle":"","family":"Kudela","given":"Raphael","non-dropping-particle":"","parse-names":false,"suffix":""},{"dropping-particle":"","family":"Marsac","given":"Francis","non-dropping-particle":"","parse-names":false,"suffix":""},{"dropping-particle":"","family":"Muller-Karger","given":"Frank E.","non-dropping-particle":"","parse-names":false,"suffix":""},{"dropping-particle":"","family":"Obura","given":"David","non-dropping-particle":"","parse-names":false,"suffix":""},{"dropping-particle":"","family":"Shin","given":"Yunne Jai","non-dropping-particle":"","parse-names":false,"suffix":""}],"container-title":"Global Change Biology","id":"ITEM-1","issue":"6","issued":{"date-parts":[["2018"]]},"page":"2416-2433","title":"Essential ocean variables for global sustained observations of biodiversity and ecosystem changes","type":"article-journal","volume":"24"},"uris":["http://www.mendeley.com/documents/?uuid=ae5a1067-6a7f-4a67-b6a9-bd45434951f0"]}],"mendeley":{"formattedCitation":"(Miloslavich et al., 2018)","plainTextFormattedCitation":"(Miloslavich et al., 2018)","previouslyFormattedCitation":"(Miloslavich et al., 2018)"},"properties":{"noteIndex":0},"schema":"https://github.com/citation-style-language/schema/raw/master/csl-citation.json"}</w:instrText>
      </w:r>
      <w:r w:rsidRPr="008962DB">
        <w:rPr>
          <w:rFonts w:ascii="Times New Roman" w:hAnsi="Times New Roman" w:cs="Times New Roman"/>
          <w:sz w:val="24"/>
          <w:szCs w:val="24"/>
        </w:rPr>
        <w:fldChar w:fldCharType="separate"/>
      </w:r>
      <w:r w:rsidRPr="008962DB">
        <w:rPr>
          <w:rFonts w:ascii="Times New Roman" w:hAnsi="Times New Roman" w:cs="Times New Roman"/>
          <w:noProof/>
          <w:sz w:val="24"/>
          <w:szCs w:val="24"/>
        </w:rPr>
        <w:t>(Miloslavich et al., 2018)</w:t>
      </w:r>
      <w:r w:rsidRPr="008962DB">
        <w:rPr>
          <w:rFonts w:ascii="Times New Roman" w:hAnsi="Times New Roman" w:cs="Times New Roman"/>
          <w:sz w:val="24"/>
          <w:szCs w:val="24"/>
        </w:rPr>
        <w:fldChar w:fldCharType="end"/>
      </w:r>
      <w:r w:rsidRPr="008962DB">
        <w:rPr>
          <w:rFonts w:ascii="Times New Roman" w:hAnsi="Times New Roman" w:cs="Times New Roman"/>
          <w:sz w:val="24"/>
          <w:szCs w:val="24"/>
        </w:rPr>
        <w:t>.</w:t>
      </w:r>
    </w:p>
    <w:p w14:paraId="4460156F" w14:textId="77777777" w:rsidR="000A26C1" w:rsidRDefault="000A26C1" w:rsidP="000A26C1">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 xml:space="preserve">A pesar de la necesidad de este tipo de acuerdos y de la existencia de relaciones de colaboración entre los propietarios de las tecnologías y los receptores en diferentes campos y áreas </w:t>
      </w:r>
      <w:r w:rsidRPr="008962DB">
        <w:rPr>
          <w:rFonts w:ascii="Times New Roman" w:hAnsi="Times New Roman" w:cs="Times New Roman"/>
          <w:sz w:val="24"/>
          <w:szCs w:val="24"/>
          <w:lang w:eastAsia="es-CO"/>
        </w:rPr>
        <w:lastRenderedPageBreak/>
        <w:t>académicas, aún existen poco entendimiento acerca de cómo facilitar y formalizar estos vínculos y acuerdos de colaboración (Feria &amp; Hidalgo, 2012) que desemboquen en una transferencia tecnológica exitosa.</w:t>
      </w:r>
    </w:p>
    <w:p w14:paraId="7E04AF84" w14:textId="77777777" w:rsidR="008962DB" w:rsidRPr="008962DB" w:rsidRDefault="008962DB" w:rsidP="008962DB">
      <w:pPr>
        <w:pStyle w:val="Ttulo1"/>
        <w:numPr>
          <w:ilvl w:val="0"/>
          <w:numId w:val="14"/>
        </w:numPr>
      </w:pPr>
      <w:bookmarkStart w:id="5" w:name="_Toc190621948"/>
      <w:r w:rsidRPr="008962DB">
        <w:t>Principales barreras y brechas en la gestión y formalización de acuerdos de TT</w:t>
      </w:r>
      <w:bookmarkEnd w:id="5"/>
    </w:p>
    <w:p w14:paraId="14CE443B" w14:textId="77777777" w:rsidR="008962DB" w:rsidRPr="008962DB" w:rsidRDefault="008962DB" w:rsidP="008962DB">
      <w:pPr>
        <w:jc w:val="both"/>
        <w:rPr>
          <w:rFonts w:ascii="Times New Roman" w:hAnsi="Times New Roman" w:cs="Times New Roman"/>
          <w:sz w:val="24"/>
          <w:szCs w:val="24"/>
          <w:lang w:eastAsia="es-CO"/>
        </w:rPr>
      </w:pPr>
    </w:p>
    <w:p w14:paraId="481C46DA" w14:textId="77777777" w:rsidR="008962DB" w:rsidRPr="008962DB" w:rsidRDefault="008962DB" w:rsidP="008962DB">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 xml:space="preserve">Para la identificación de las principales barreras de la gestión y formalización de acuerdos entre las instituciones de investigación y centros de desarrollo a la industria, se observa que la mayoría de los artículos incluidos en este tema se centran en los factores críticos desde la perspectiva de los generadores de conocimiento y propietarios de la tecnología, a diferencia de los que analizan la relación desde la perspectiva de la industria.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{"citationItems":[{"id":"ITEM-1","itemData":{"DOI":"10.1007/S10961-019-09774-5","ISSN":"1573-7047","abstract":"This study explores academic research on technology transfer (TT) and the related themes. The TT field has attracted considerable scholarly attention in recent years and has grown rapidly, resulting in a large body of knowledge. Using a bibliometric approach, this study reviews related research issues as well as their influence and connections and provides directions for future research. It uses Clarivate Analytics’ Web of Science database that includes 3218 bibliographic references. Several bibliometric analysis techniques and a subsequent review of the content of the most relevant documents are adopted. The performance analysis provided an updated overview of the evolution of the TT literature from 1969 to 2018 and quantitatively identified the most active and influential journals, articles, authors, and organizations. The co-authorship network analysis allowed us to identify and visualize the structure of relations between authors as well as determine the collaboration patterns among them. On the basis of the information supplied by the co-authorship network, the main literature was reviewed to identify the current status and research trends related to TT, identifying five main research streams and related topics. The implications of the study’s findings and directions for future TT research are finally discussed to enhance our understanding of TT agents and issues and support further research in this field.","author":[{"dropping-particle":"","family":"Bengoa","given":"Alejandro","non-dropping-particle":"","parse-names":false,"suffix":""},{"dropping-particle":"","family":"Maseda","given":"Amaia","non-dropping-particle":"","parse-names":false,"suffix":""},{"dropping-particle":"","family":"Iturralde","given":"Txomin","non-dropping-particle":"","parse-names":false,"suffix":""},{"dropping-particle":"","family":"Aparicio","given":"Gloria","non-dropping-particle":"","parse-names":false,"suffix":""}],"container-title":"The Journal of Technology Transfer 2020 46:5","id":"ITEM-1","issue":"5","issued":{"date-parts":[["2020","1","14"]]},"page":"1514-1550","publisher":"Springer","title":"A bibliometric review of the technology transfer literature","type":"article-journal","volume":"46"},"uris":["http://www.mendeley.com/documents/?uuid=55ce8a2e-b6f4-39e5-a194-b37a75774306"]}],"mendeley":{"formattedCitation":"(Bengoa et al., 2020b)","plainTextFormattedCitation":"(Bengoa et al., 2020b)","previouslyFormattedCitation":"(Bengoa et al., 2020b)"},"properties":{"noteIndex":0},"schema":"https://github.com/citation-style-language/schema/raw/master/csl-citation.json"}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(Bengoa et al., 2020b)</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En concordancia con la pregunta de investigación planteada al inicio de la revisión, a continuación, se relacionan las barreras encontradas en la literatura tomando como referente la primera perspectiva, para cada una de los dimensiones que establece el modelo de Bozeman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{"citationItems":[{"id":"ITEM-1","itemData":{"DOI":"10.1016/J.RESPOL.2014.06.008","ISSN":"0048-7333","abstract":"The purpose of our study is to review and synthesize the rapidly evolving literature on technology transfer effectiveness. Our paper provides a lens into relatively recent work, focusing particularly on empirical studies of US technology transfer conducted within the last 15 years. In doing so, we update and extend the Contingent Effectiveness Model of Technology Transfer developed by Bozeman (2000). Specifically, we include the growing interest in social and public value oriented technology transfer and, thus, the contingent effectiveness model is expanded to consider this literature. We categorize studies according their approaches to measuring effectiveness, draw conclusions regarding the current state of technology transfer evaluation, and offer recommendations for future studies.","author":[{"dropping-particle":"","family":"Bozeman","given":"Barry","non-dropping-particle":"","parse-names":false,"suffix":""},{"dropping-particle":"","family":"Rimes","given":"Heather","non-dropping-particle":"","parse-names":false,"suffix":""},{"dropping-particle":"","family":"Youtie","given":"Jan","non-dropping-particle":"","parse-names":false,"suffix":""}],"container-title":"Research Policy","id":"ITEM-1","issue":"1","issued":{"date-parts":[["2015","2","1"]]},"page":"34-49","publisher":"North-Holland","title":"The evolving state-of-the-art in technology transfer research: Revisiting the contingent effectiveness model","type":"article-journal","volume":"44"},"suppress-author":1,"uris":["http://www.mendeley.com/documents/?uuid=ad61b8fa-8eda-3db1-a203-6686fe16c1dd"]}],"mendeley":{"formattedCitation":"(2015)","plainTextFormattedCitation":"(2015)","previouslyFormattedCitation":"(2015)"},"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(2015)</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el cual ha sido la base de diferentes estudios alrededor del tópico y recoge en su conceptualización los elementos más relevantes en el proceso de TT, que fueron definidos a partir de una amplia y rigurosa revisión de literatura: agentes de transferencia, medio de transferencia, objeto de transferencia y entorno de la demanda:</w:t>
      </w:r>
    </w:p>
    <w:p w14:paraId="7FD6F49B" w14:textId="77777777" w:rsidR="008962DB" w:rsidRPr="008962DB" w:rsidRDefault="008962DB" w:rsidP="008962DB">
      <w:pPr>
        <w:spacing w:line="480" w:lineRule="auto"/>
        <w:ind w:firstLine="720"/>
        <w:jc w:val="both"/>
        <w:rPr>
          <w:rFonts w:ascii="Times New Roman" w:hAnsi="Times New Roman" w:cs="Times New Roman"/>
          <w:color w:val="000000" w:themeColor="text1"/>
          <w:sz w:val="24"/>
          <w:szCs w:val="24"/>
          <w:lang w:eastAsia="es-CO"/>
        </w:rPr>
      </w:pPr>
      <w:r w:rsidRPr="008962DB">
        <w:rPr>
          <w:rFonts w:ascii="Times New Roman" w:hAnsi="Times New Roman" w:cs="Times New Roman"/>
          <w:b/>
          <w:bCs/>
          <w:i/>
          <w:iCs/>
          <w:color w:val="000000" w:themeColor="text1"/>
          <w:sz w:val="24"/>
          <w:szCs w:val="24"/>
          <w:lang w:eastAsia="es-CO"/>
        </w:rPr>
        <w:t xml:space="preserve">Agentes de transferencia. </w:t>
      </w:r>
      <w:r w:rsidRPr="008962DB">
        <w:rPr>
          <w:rFonts w:ascii="Times New Roman" w:hAnsi="Times New Roman" w:cs="Times New Roman"/>
          <w:color w:val="000000" w:themeColor="text1"/>
          <w:sz w:val="24"/>
          <w:szCs w:val="24"/>
          <w:lang w:eastAsia="es-CO"/>
        </w:rPr>
        <w:t xml:space="preserve">A pesar de la diversidad dentro de la comunidad de investigación de transferencia de tecnología, gran parte de la investigación se ha dedicado a un solo contexto: la transferencia de tecnología de las universidades a las empresas establecidas. Por el contrario, se ha prestado poca atención a la transferencia de tecnología de las instituciones públicas de investigación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{"citationItems":[{"id":"ITEM-1","itemData":{"DOI":"10.1109/TEM.2018.2858812","ISSN":"15580040","abstract":"Motivated by the limited research on technology transfer from public research institutions (PRIs) to small- and medium-sized enterprises (SMEs), and the scant literature on assessing the fit between technology transfer source and recipient, we aim to answer: How do we bridge the knowledge gap between PRIs and SMEs to facilitate the pretransfer matching process? Taking each technology transfer project as the unit of analysis and adopting information processing theory, we equate information processing requirements with technology readiness levels of the technologies intended to be transferred from PRIs, and information processing capacities with demand readiness levels of the capabilities possessed by SMEs, and present an integrated framework that advocates transfer source-recipient matchings to facilitate PRI-SME technology transfer.","author":[{"dropping-particle":"","family":"Liu","given":"Hung Yao","non-dropping-particle":"","parse-names":false,"suffix":""},{"dropping-particle":"","family":"Subramanian","given":"Annapoornima M.","non-dropping-particle":"","parse-names":false,"suffix":""},{"dropping-particle":"","family":"Hang","given":"Chang Chieh","non-dropping-particle":"","parse-names":false,"suffix":""}],"container-title":"IEEE Transactions on Engineering Management","id":"ITEM-1","issue":"1","issued":{"date-parts":[["2020","2","1"]]},"page":"70-80","publisher":"Institute of Electrical and Electronics Engineers Inc.","title":"Marrying the Best of Both Worlds: An Integrated Framework for Matching Technology Transfer Sources and Recipients","type":"article-journal","volume":"67"},"uris":["http://www.mendeley.com/documents/?uuid=06c23a30-41bd-3089-9d61-9e4df2a4f01f"]}],"mendeley":{"formattedCitation":"(Liu et al., 2020)","plainTextFormattedCitation":"(Liu et al., 2020)","previouslyFormattedCitation":"(Liu et al., 2020)"},"properties":{"noteIndex":0},"schema":"https://github.com/citation-style-language/schema/raw/master/csl-citation.json"}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(Liu et al., 2020)</w:t>
      </w:r>
      <w:r w:rsidRPr="008962DB">
        <w:rPr>
          <w:rFonts w:ascii="Times New Roman" w:hAnsi="Times New Roman" w:cs="Times New Roman"/>
          <w:color w:val="000000" w:themeColor="text1"/>
          <w:sz w:val="24"/>
          <w:szCs w:val="24"/>
          <w:lang w:eastAsia="es-CO"/>
        </w:rPr>
        <w:fldChar w:fldCharType="end"/>
      </w:r>
      <w:r w:rsidRPr="008962DB">
        <w:rPr>
          <w:rFonts w:ascii="Times New Roman" w:hAnsi="Times New Roman" w:cs="Times New Roman"/>
          <w:color w:val="000000" w:themeColor="text1"/>
          <w:sz w:val="24"/>
          <w:szCs w:val="24"/>
          <w:lang w:eastAsia="es-CO"/>
        </w:rPr>
        <w:t xml:space="preserve">, y de centros e institutos que llevan a cabo actividades de desarrollo e innovación. </w:t>
      </w:r>
    </w:p>
    <w:p w14:paraId="7472CF39" w14:textId="77777777" w:rsidR="008962DB" w:rsidRPr="008962DB" w:rsidRDefault="008962DB" w:rsidP="008962DB">
      <w:pPr>
        <w:spacing w:line="480" w:lineRule="auto"/>
        <w:ind w:firstLine="720"/>
        <w:jc w:val="both"/>
        <w:rPr>
          <w:rFonts w:ascii="Times New Roman" w:hAnsi="Times New Roman" w:cs="Times New Roman"/>
          <w:color w:val="000000" w:themeColor="text1"/>
          <w:sz w:val="24"/>
          <w:szCs w:val="24"/>
          <w:lang w:eastAsia="es-CO"/>
        </w:rPr>
      </w:pPr>
      <w:r w:rsidRPr="008962DB">
        <w:rPr>
          <w:rFonts w:ascii="Times New Roman" w:hAnsi="Times New Roman" w:cs="Times New Roman"/>
          <w:color w:val="000000" w:themeColor="text1"/>
          <w:sz w:val="24"/>
          <w:szCs w:val="24"/>
          <w:lang w:eastAsia="es-CO"/>
        </w:rPr>
        <w:t xml:space="preserve">Agregado a eso, según algunos estudios,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{"citationItems":[{"id":"ITEM-1","itemData":{"ISSN":"17356865","abstract":"A three years monitoring was carried out at 9 sites in Italy to evaluate somephysical indicators of soil quality related to soil structure degradation and compaction: bulk density, packing density, surface roughness of the seedbed, and crop yields, and testeffectiveness of European crosscompliance Standard 3.1 ‘Ploughing in good soil moisture conditions’. Two plots were set up in each site: low soil moisture (L), with soil main tillage at lower water content, and high soil moisture (H) with soil main tillage at higher water content. The volumetric soil water contents at ploughing in the two treatments were compared with Upper Tillage Limit (θUTL) and Optimum Tillage Limit (θOTL). Grain yields of crops were lower as average when soil was tilled at high moisture content in comparison with the low moisture treatments. Thephysical parameters adopted as indicators of soil structure degradation proved effective in assessing the differences among the treatments, and could be adopted as a routine scheme in similar researches on the effects of soil tillage on soil degradation.","author":[{"dropping-particle":"","family":"Francaviglia","given":"R.","non-dropping-particle":"","parse-names":false,"suffix":""},{"dropping-particle":"","family":"Carroni","given":"A. M.","non-dropping-particle":"","parse-names":false,"suffix":""},{"dropping-particle":"","family":"Bazzoffi","given":"P.","non-dropping-particle":"","parse-names":false,"suffix":""},{"dropping-particle":"","family":"Troccoli","given":"A.","non-dropping-particle":"","parse-names":false,"suffix":""},{"dropping-particle":"","family":"Borrelli","given":"L.","non-dropping-particle":"","parse-names":false,"suffix":""},{"dropping-particle":"","family":"Napoli","given":"R.","non-dropping-particle":"","parse-names":false,"suffix":""},{"dropping-particle":"","family":"Ventrella","given":"D.","non-dropping-particle":"","parse-names":false,"suffix":""},{"dropping-particle":"","family":"Montemurro","given":"F.","non-dropping-particle":"","parse-names":false,"suffix":""},{"dropping-particle":"","family":"Chiarini","given":"F.","non-dropping-particle":"","parse-names":false,"suffix":""}],"container-title":"International Journal of Environmental Research","id":"ITEM-1","issue":"4","issued":{"date-parts":[["2016"]]},"page":"655-666","title":"Testing the effectiveness of the European cross-compliance standard 3.1 “ploughing in good soil moisture conditions”","type":"article-journal","volume":"10"},"uris":["http://www.mendeley.com/documents/?uuid=cd65a23b-92ad-4bbf-87b2-10edaef9407a"]},{"id":"ITEM-2","itemData":{"DOI":"10.1108/JAAR-06-2015-0056/FULL/PDF","ISSN":"09675426","abstract":"Purpose - The purpose of this paper is to assess whether European companies issue standalone environmental reports in an attempt to gain and maintain legitimacy with relevant stakeholders. This is achieved by creating and empirically testing a model of the relationships between corporate reporting format, industry membership, environmental disclosure, and environmental performance. Design/methodology/approach - Data are collected from 100 large European companies in carbon and non-carbon-intensive industries. Hypothesis testing is conducted via structure equation modeling. Findings - Evidence exists that companies which disclose environmental information in standalone environmental reports tend to provide higher levels of environmental information than companies which combine financial and environmental disclosure in annual reports. The findings support greenwashing as a new perspective of legitimacy theory: companies in carbon-intensive industry use standalone environmental reports to pose as good corporate citizens even when they are not. Research limitations/implications - The sample companies are large European companies and this could limit the generalizability of research findings. The authors call for longitudinal studies examining how the relationship between reporting format and environmental disclosure changes. Practical implications - This paper suggests that reporting format be considered a proactive, strategic communication-driven activity rather than a decision that managers passively make in response to external scrutiny. Originality/value - The paper contributes to the literature by adding to the scarce evidence of the relationship between reporting format and environmental disclosure. Greenwashing as a new perspective of legitimacy theory is used to develop research hypotheses.","author":[{"dropping-particle":"","family":"Hassan","given":"Abeer","non-dropping-particle":"","parse-names":false,"suffix":""},{"dropping-particle":"","family":"Guo","given":"Xin","non-dropping-particle":"","parse-names":false,"suffix":""}],"container-title":"Journal of Applied Accounting Research","id":"ITEM-2","issue":"4","issued":{"date-parts":[["2017"]]},"page":"425-444","publisher":"Emerald Group Publishing Ltd.","title":"The relationships between reporting format, environmental disclosure and environmental performance An empirical study","type":"article-journal","volume":"18"},"uris":["http://www.mendeley.com/documents/?uuid=ca201168-5d2a-30ac-8a56-0073df993fdb"]}],"mendeley":{"formattedCitation":"(Francaviglia et al., 2016; Hassan &amp; Guo, 2017)","plainTextFormattedCitation":"(Francaviglia et al., 2016; Hassan &amp; Guo, 2017)","previouslyFormattedCitation":"(Francaviglia et al., 2016; Hassan &amp; Guo, 2017)"},"properties":{"noteIndex":0},"schema":"https://github.com/citation-style-language/schema/raw/master/csl-citation.json"}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(Francaviglia et al., 2016; Hassan &amp; Guo, 2017)</w:t>
      </w:r>
      <w:r w:rsidRPr="008962DB">
        <w:rPr>
          <w:rFonts w:ascii="Times New Roman" w:hAnsi="Times New Roman" w:cs="Times New Roman"/>
          <w:color w:val="000000" w:themeColor="text1"/>
          <w:sz w:val="24"/>
          <w:szCs w:val="24"/>
          <w:lang w:eastAsia="es-CO"/>
        </w:rPr>
        <w:fldChar w:fldCharType="end"/>
      </w:r>
      <w:r w:rsidRPr="008962DB">
        <w:rPr>
          <w:rFonts w:ascii="Times New Roman" w:hAnsi="Times New Roman" w:cs="Times New Roman"/>
          <w:color w:val="000000" w:themeColor="text1"/>
          <w:sz w:val="24"/>
          <w:szCs w:val="24"/>
          <w:lang w:eastAsia="es-CO"/>
        </w:rPr>
        <w:t xml:space="preserve"> existen diferentes factores asociados a los conocimientos y habilidades del cedente y cesionario que </w:t>
      </w:r>
      <w:r w:rsidRPr="008962DB">
        <w:rPr>
          <w:rFonts w:ascii="Times New Roman" w:hAnsi="Times New Roman" w:cs="Times New Roman"/>
          <w:color w:val="000000" w:themeColor="text1"/>
          <w:sz w:val="24"/>
          <w:szCs w:val="24"/>
          <w:lang w:eastAsia="es-CO"/>
        </w:rPr>
        <w:lastRenderedPageBreak/>
        <w:t xml:space="preserve">interfieren en la efectividad del proceso de gestión y formalización de acuerdos de TT , así como la definición de su misión y objetivos estratégicos, su infraestructura y los recursos humanos, financieros y técnicos con los que cuentan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{"citationItems":[{"id":"ITEM-1","itemData":{"DOI":"10.4067/s0718-27242013000500002","ISSN":"07182724","abstract":"Technology transfer from academic and scientific institutions has been transformed into a strategic variable for companies and nations who wish to cope with the challenges of a global economy. Since the early 1970s, many technology transfer models have tried to introduce key factors in the process. Previous studies have shown that technology transfer is influenced by various elements. This study is based on a review of two recent technology transfer models that we have used as basic concepts for developing our own conceptual model. Researcher-firm networks have been considered as key elements in the technology transfer process between public universities and firms. The conceptual model proposed could be useful to improve the efficiency of existing technology transfer mechanisms. © Universidad Alberto Hurtado, Facultad de Economía y Negocios.","author":[{"dropping-particle":"","family":"Necoechea-Mondragón","given":"Hugo","non-dropping-particle":"","parse-names":false,"suffix":""},{"dropping-particle":"","family":"Pineda-Domínguez","given":"Daniel","non-dropping-particle":"","parse-names":false,"suffix":""},{"dropping-particle":"","family":"Soto-Flores","given":"Rocío","non-dropping-particle":"","parse-names":false,"suffix":""}],"container-title":"Journal of Technology Management and Innovation","id":"ITEM-1","issue":"4","issued":{"date-parts":[["2013"]]},"page":"24-35","title":"A conceptual model of technology transfer for public universities in Mexico","type":"article-journal","volume":"8"},"uris":["http://www.mendeley.com/documents/?uuid=7774579a-ceff-3a39-b83b-65cb1b13014d"]}],"mendeley":{"formattedCitation":"(Necoechea-Mondragón et al., 2013)","plainTextFormattedCitation":"(Necoechea-Mondragón et al., 2013)","previouslyFormattedCitation":"(Necoechea-Mondragón et al., 2013)"},"properties":{"noteIndex":0},"schema":"https://github.com/citation-style-language/schema/raw/master/csl-citation.json"}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(Necoechea-Mondragón et al., 2013)</w:t>
      </w:r>
      <w:r w:rsidRPr="008962DB">
        <w:rPr>
          <w:rFonts w:ascii="Times New Roman" w:hAnsi="Times New Roman" w:cs="Times New Roman"/>
          <w:color w:val="000000" w:themeColor="text1"/>
          <w:sz w:val="24"/>
          <w:szCs w:val="24"/>
          <w:lang w:eastAsia="es-CO"/>
        </w:rPr>
        <w:fldChar w:fldCharType="end"/>
      </w:r>
      <w:r w:rsidRPr="008962DB">
        <w:rPr>
          <w:rFonts w:ascii="Times New Roman" w:hAnsi="Times New Roman" w:cs="Times New Roman"/>
          <w:color w:val="000000" w:themeColor="text1"/>
          <w:sz w:val="24"/>
          <w:szCs w:val="24"/>
          <w:lang w:eastAsia="es-CO"/>
        </w:rPr>
        <w:t>.</w:t>
      </w:r>
    </w:p>
    <w:p w14:paraId="7384B3B7" w14:textId="77777777" w:rsidR="008962DB" w:rsidRPr="008962DB" w:rsidRDefault="008962DB" w:rsidP="008962DB">
      <w:pPr>
        <w:spacing w:after="0" w:line="480" w:lineRule="auto"/>
        <w:ind w:firstLine="720"/>
        <w:jc w:val="both"/>
        <w:rPr>
          <w:rFonts w:ascii="Times New Roman" w:hAnsi="Times New Roman" w:cs="Times New Roman"/>
          <w:color w:val="000000" w:themeColor="text1"/>
          <w:sz w:val="24"/>
          <w:szCs w:val="24"/>
          <w:lang w:eastAsia="es-CO"/>
        </w:rPr>
      </w:pPr>
      <w:r w:rsidRPr="008962DB">
        <w:rPr>
          <w:rFonts w:ascii="Times New Roman" w:hAnsi="Times New Roman" w:cs="Times New Roman"/>
          <w:color w:val="000000" w:themeColor="text1"/>
          <w:sz w:val="24"/>
          <w:szCs w:val="24"/>
          <w:lang w:eastAsia="es-CO"/>
        </w:rPr>
        <w:t xml:space="preserve">Además de estas características organizacionales internas de cedente y cesionario, factores como la falta de comunicación efectiva, fueron mencionados en el estudio de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{"citationItems":[{"id":"ITEM-1","itemData":{"DOI":"10.17711/SM.0185-3325.2016.030","ISSN":"01853325","abstract":"Introduction The transfer and translation of programs with scientific evidence to clinical scenarios is often limited by a number of barriers for their implementation, making it difficult to provide benefits for a society that requires effective services. Objective The aim of this study was to identify the barriers for the adoption of brief intervention programs for the treatment of alcohol and other drugs abuse at addiction treatment centers in Mexico. Methods This is a qualitative study with a purposive sample consisting of 16 experts on transfer processes. Focused interviews were conducted and transcribed, and the data were subjected to content analysis. Results The results reported several barriers for the adoption of programs in clinical scenarios. These include the following: bureaucratic procedures and institutional policies, lack of knowledge of the theoretical bases of the program and the diversity of users demanding the service. Discussion and conclusion The study discusses the fact that the technology transfer process requires a deliberate, combined effort to ensure the implementation of programs in clinical scenarios. The barriers identified by the actors involved in the process should be considered in the development of strategies to disseminate brief intervention programs.","author":[{"dropping-particle":"","family":"Martínez Martínez","given":"Kalina Isela","non-dropping-particle":"","parse-names":false,"suffix":""},{"dropping-particle":"","family":"Yolanda Pacheco Trejo","given":"Ayme","non-dropping-particle":"","parse-names":false,"suffix":""},{"dropping-particle":"","family":"San Vicente","given":"Leticia Echeverría","non-dropping-particle":"","parse-names":false,"suffix":""},{"dropping-particle":"","family":"Medina-Mora","given":"María Elena","non-dropping-particle":"","parse-names":false,"suffix":""}],"container-title":"Salud Mental","id":"ITEM-1","issue":"5","issued":{"date-parts":[["2016"]]},"page":"257-265","title":"Barreras en la transferencia de la tecnología: Un estudio cualitativo de las intervenciones breves y los centros de atención a las adicciones","type":"article-journal","volume":"39"},"uris":["http://www.mendeley.com/documents/?uuid=ea3e89c2-6d80-4768-b1b1-4ce8c06ec3bf"]}],"mendeley":{"formattedCitation":"(Martínez Martínez et al., 2016)","plainTextFormattedCitation":"(Martínez Martínez et al., 2016)","previouslyFormattedCitation":"(Martínez Martínez et al., 2016)"},"properties":{"noteIndex":0},"schema":"https://github.com/citation-style-language/schema/raw/master/csl-citation.json"}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(Martínez Martínez et al., 2016)</w:t>
      </w:r>
      <w:r w:rsidRPr="008962DB">
        <w:rPr>
          <w:rFonts w:ascii="Times New Roman" w:hAnsi="Times New Roman" w:cs="Times New Roman"/>
          <w:color w:val="000000" w:themeColor="text1"/>
          <w:sz w:val="24"/>
          <w:szCs w:val="24"/>
          <w:lang w:eastAsia="es-CO"/>
        </w:rPr>
        <w:fldChar w:fldCharType="end"/>
      </w:r>
      <w:r w:rsidRPr="008962DB">
        <w:rPr>
          <w:rFonts w:ascii="Times New Roman" w:hAnsi="Times New Roman" w:cs="Times New Roman"/>
          <w:color w:val="000000" w:themeColor="text1"/>
          <w:sz w:val="24"/>
          <w:szCs w:val="24"/>
          <w:lang w:eastAsia="es-CO"/>
        </w:rPr>
        <w:t xml:space="preserve"> como uno de las barreras que puede generar falta de confianza entre los involucrados en el proceso e impedir que se logre formalizar cualquier tipo de acuerdo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{"citationItems":[{"id":"ITEM-1","itemData":{"DOI":"10.1016/S1019-6838(12)70007-0","ISSN":"10196838","abstract":"As a result of the development of emerging countries such as China and Brazil, the traditional competitive paradigm based on the cost benefits and efficiencies related to quality, are not enough nowadays. These paradigms related the classical competitive with the degree of technological innovation and the use of cluster resources by its members. However, the combination of adequate knowledge and relationship marketing management provides a review of current models of competition that goes beyond the traditional cluster analysis. The aim of this study is to analyze the governance structure of the territorial value chain in the Spanish ceramic tile cluster, through the understanding of past and current roles of the various sectors involved in the creation of the value system. Through the case study approach and quantitative methodology, the study explores the paradigm shift where the traditional actors in the value chain are losing their control over their contribution to the value creation system, while new players with a more stable and promising role are emerging. © 2011 AEDEM.","author":[{"dropping-particle":"","family":"Garrigósa","given":"José Albors","non-dropping-particle":"","parse-names":false,"suffix":""},{"dropping-particle":"","family":"Nucherab","given":"Antonio","non-dropping-particle":"","parse-names":false,"suffix":""}],"container-title":"Revista Europea de Direccion y Economia de la Empresa","id":"ITEM-1","issue":"2","issued":{"date-parts":[["2012"]]},"page":"205-214","publisher":"Elsevier","title":"Relaciones de gobernanza e innovación en la cadena de valor: Nuevos paradigmas de competividad","type":"article-journal","volume":"21"},"uris":["http://www.mendeley.com/documents/?uuid=104e6f52-f628-4180-9e11-105152c4e710"]}],"mendeley":{"formattedCitation":"(Garrigósa &amp; Nucherab, 2012)","plainTextFormattedCitation":"(Garrigósa &amp; Nucherab, 2012)","previouslyFormattedCitation":"(Garrigósa &amp; Nucherab, 2012)"},"properties":{"noteIndex":0},"schema":"https://github.com/citation-style-language/schema/raw/master/csl-citation.json"}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(Garrigósa &amp; Nucherab, 2012)</w:t>
      </w:r>
      <w:r w:rsidRPr="008962DB">
        <w:rPr>
          <w:rFonts w:ascii="Times New Roman" w:hAnsi="Times New Roman" w:cs="Times New Roman"/>
          <w:color w:val="000000" w:themeColor="text1"/>
          <w:sz w:val="24"/>
          <w:szCs w:val="24"/>
          <w:lang w:eastAsia="es-CO"/>
        </w:rPr>
        <w:fldChar w:fldCharType="end"/>
      </w:r>
      <w:r w:rsidRPr="008962DB">
        <w:rPr>
          <w:rFonts w:ascii="Times New Roman" w:hAnsi="Times New Roman" w:cs="Times New Roman"/>
          <w:color w:val="000000" w:themeColor="text1"/>
          <w:sz w:val="24"/>
          <w:szCs w:val="24"/>
          <w:lang w:eastAsia="es-CO"/>
        </w:rPr>
        <w:t xml:space="preserve">. Estas fallas de comunicación </w:t>
      </w:r>
      <w:r w:rsidRPr="008962DB">
        <w:rPr>
          <w:rFonts w:ascii="Times New Roman" w:hAnsi="Times New Roman" w:cs="Times New Roman"/>
          <w:sz w:val="24"/>
          <w:szCs w:val="24"/>
          <w:lang w:eastAsia="es-CO"/>
        </w:rPr>
        <w:t xml:space="preserve">surgen debido a que cada uno maneja un lenguaje distinto, buscan diferentes objetivos y representan organizaciones de culturas deferentes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{"citationItems":[{"id":"ITEM-1","itemData":{"DOI":"10.1007/978-1-349-05163-2_2","abstract":"Technology transfer, defined as the application ofinformation into use, is often a difficult and frustrating process. Participants in the technology transfer process are usually heterophilous, so that technology receptors speak a different language than technology sources. This essay explores the concept oftechnology transfer and suggests strategies for its facilitation. The","author":[{"dropping-particle":"","family":"Rogers","given":"Everett","non-dropping-particle":"","parse-names":false,"suffix":""}],"container-title":"Trade and Technology in Soviet-Western Relations","id":"ITEM-1","issue":"3","issued":{"date-parts":[["2002"]]},"page":"6-29","title":"The Nature of Technology Transfer","type":"article-journal","volume":"23"},"uris":["http://www.mendeley.com/documents/?uuid=178656e6-713b-4a83-b64a-d9ca8c6c6681"]}],"mendeley":{"formattedCitation":"(Rogers, 2002)","plainTextFormattedCitation":"(Rogers, 2002)","previouslyFormattedCitation":"(Rogers, 2002)"},"properties":{"noteIndex":0},"schema":"https://github.com/citation-style-language/schema/raw/master/csl-citation.json"}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(Rogers, 2002)</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De ahí, </w:t>
      </w:r>
      <w:r w:rsidRPr="008962DB">
        <w:rPr>
          <w:rFonts w:ascii="Times New Roman" w:hAnsi="Times New Roman" w:cs="Times New Roman"/>
          <w:color w:val="000000" w:themeColor="text1"/>
          <w:sz w:val="24"/>
          <w:szCs w:val="24"/>
          <w:lang w:eastAsia="es-CO"/>
        </w:rPr>
        <w:t>la necesidad de formalizar acuerdos que establezcan lineamientos para la comunicación clara y efectiva entre los agentes que disminuyan los canales ineficientes.</w:t>
      </w:r>
    </w:p>
    <w:p w14:paraId="44EF76FB" w14:textId="77777777" w:rsidR="008962DB" w:rsidRPr="008962DB" w:rsidRDefault="008962DB" w:rsidP="008962DB">
      <w:pPr>
        <w:spacing w:line="480" w:lineRule="auto"/>
        <w:ind w:firstLine="720"/>
        <w:jc w:val="both"/>
        <w:rPr>
          <w:rFonts w:ascii="Times New Roman" w:hAnsi="Times New Roman" w:cs="Times New Roman"/>
          <w:color w:val="000000" w:themeColor="text1"/>
          <w:sz w:val="24"/>
          <w:szCs w:val="24"/>
          <w:lang w:eastAsia="es-CO"/>
        </w:rPr>
      </w:pPr>
      <w:r w:rsidRPr="008962DB">
        <w:rPr>
          <w:rFonts w:ascii="Times New Roman" w:hAnsi="Times New Roman" w:cs="Times New Roman"/>
          <w:b/>
          <w:bCs/>
          <w:i/>
          <w:iCs/>
          <w:sz w:val="24"/>
          <w:szCs w:val="24"/>
          <w:lang w:eastAsia="es-CO"/>
        </w:rPr>
        <w:t>Medio de transferencia</w:t>
      </w:r>
      <w:r w:rsidRPr="008962DB">
        <w:rPr>
          <w:rFonts w:ascii="Times New Roman" w:hAnsi="Times New Roman" w:cs="Times New Roman"/>
          <w:sz w:val="24"/>
          <w:szCs w:val="24"/>
          <w:lang w:eastAsia="es-CO"/>
        </w:rPr>
        <w:t>. Existen diferentes medios, mecanismo o tipos de acuerdos para transferir una tecnología, siendo los más utilizados las licencias, patentes, nuevas empresas, contratos, implementación conjunta de proyectos de I+D (Ver Figura 1),</w:t>
      </w:r>
      <w:r w:rsidRPr="008962DB">
        <w:rPr>
          <w:rFonts w:ascii="Times New Roman" w:hAnsi="Times New Roman" w:cs="Times New Roman"/>
          <w:sz w:val="24"/>
          <w:szCs w:val="24"/>
        </w:rPr>
        <w:t xml:space="preserve"> </w:t>
      </w:r>
      <w:r w:rsidRPr="008962DB">
        <w:rPr>
          <w:rFonts w:ascii="Times New Roman" w:hAnsi="Times New Roman" w:cs="Times New Roman"/>
          <w:sz w:val="24"/>
          <w:szCs w:val="24"/>
          <w:lang w:eastAsia="es-CO"/>
        </w:rPr>
        <w:t xml:space="preserve">además de los contactos informales como reuniones y conferencias, cada uno con características e implicaciones diferentes, siendo los acercamientos informales un </w:t>
      </w:r>
      <w:r w:rsidRPr="008962DB">
        <w:rPr>
          <w:rFonts w:ascii="Times New Roman" w:hAnsi="Times New Roman" w:cs="Times New Roman"/>
          <w:color w:val="000000" w:themeColor="text1"/>
          <w:sz w:val="24"/>
          <w:szCs w:val="24"/>
          <w:lang w:eastAsia="es-CO"/>
        </w:rPr>
        <w:t xml:space="preserve">aspecto característico de las interacciones universidad-industria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{"citationItems":[{"id":"ITEM-1","itemData":{"DOI":"10.1016/J.RESPOL.2014.06.008","ISSN":"0048-7333","abstract":"The purpose of our study is to review and synthesize the rapidly evolving literature on technology transfer effectiveness. Our paper provides a lens into relatively recent work, focusing particularly on empirical studies of US technology transfer conducted within the last 15 years. In doing so, we update and extend the Contingent Effectiveness Model of Technology Transfer developed by Bozeman (2000). Specifically, we include the growing interest in social and public value oriented technology transfer and, thus, the contingent effectiveness model is expanded to consider this literature. We categorize studies according their approaches to measuring effectiveness, draw conclusions regarding the current state of technology transfer evaluation, and offer recommendations for future studies.","author":[{"dropping-particle":"","family":"Bozeman","given":"Barry","non-dropping-particle":"","parse-names":false,"suffix":""},{"dropping-particle":"","family":"Rimes","given":"Heather","non-dropping-particle":"","parse-names":false,"suffix":""},{"dropping-particle":"","family":"Youtie","given":"Jan","non-dropping-particle":"","parse-names":false,"suffix":""}],"container-title":"Research Policy","id":"ITEM-1","issue":"1","issued":{"date-parts":[["2015","2","1"]]},"page":"34-49","publisher":"North-Holland","title":"The evolving state-of-the-art in technology transfer research: Revisiting the contingent effectiveness model","type":"article-journal","volume":"44"},"uris":["http://www.mendeley.com/documents/?uuid=ad61b8fa-8eda-3db1-a203-6686fe16c1dd"]}],"mendeley":{"formattedCitation":"(Bozeman et al., 2015)","plainTextFormattedCitation":"(Bozeman et al., 2015)","previouslyFormattedCitation":"(Bozeman et al., 2015)"},"properties":{"noteIndex":0},"schema":"https://github.com/citation-style-language/schema/raw/master/csl-citation.json"}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(Bozeman et al., 2015)</w:t>
      </w:r>
      <w:r w:rsidRPr="008962DB">
        <w:rPr>
          <w:rFonts w:ascii="Times New Roman" w:hAnsi="Times New Roman" w:cs="Times New Roman"/>
          <w:color w:val="000000" w:themeColor="text1"/>
          <w:sz w:val="24"/>
          <w:szCs w:val="24"/>
          <w:lang w:eastAsia="es-CO"/>
        </w:rPr>
        <w:fldChar w:fldCharType="end"/>
      </w:r>
      <w:r w:rsidRPr="008962DB">
        <w:rPr>
          <w:rFonts w:ascii="Times New Roman" w:hAnsi="Times New Roman" w:cs="Times New Roman"/>
          <w:color w:val="000000" w:themeColor="text1"/>
          <w:sz w:val="24"/>
          <w:szCs w:val="24"/>
          <w:lang w:eastAsia="es-CO"/>
        </w:rPr>
        <w:t xml:space="preserve">. Sin embargo, la naturaleza parcialmente tácita del conocimiento y la complejidad que implica ponerle precio, requiere de un acuerdo formal que contribuya a establecer las acciones e incentivos adecuados para los dueños de las tecnologías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{"citationItems":[{"id":"ITEM-1","itemData":{"DOI":"10.1007/S10961-009-9121-7/TABLES/12","ISSN":"08929912","abstract":"Over the last 20 years, universities have made steady progress in their efforts to foster the process of technology transfer through collaboration with industry. The establishment of technology transfer offices (TTO) has become routine for supporting the commercialization of academic research. However, the literature shows that there are many factors that affect the efficiency and effectiveness of these offices. Based on original data from interviews with 197 university departments in Italy, this paper investigates the determinants of universities university use of TTOs. We take account of the effects of universities' and TTOs characteristics, of research and geographic indicators. © 2009 Springer Science+Business Media, LLC.","author":[{"dropping-particle":"","family":"Muscio","given":"Alessandro","non-dropping-particle":"","parse-names":false,"suffix":""}],"container-title":"Journal of Technology Transfer","id":"ITEM-1","issue":"2","issued":{"date-parts":[["2010","4","8"]]},"page":"181-202","publisher":"Springer","title":"What drives the university use of technology transfer offices? Evidence from Italy","type":"article-journal","volume":"35"},"uris":["http://www.mendeley.com/documents/?uuid=fe40bdaa-665e-3d20-a206-010837632391"]}],"mendeley":{"formattedCitation":"(Muscio, 2010)","plainTextFormattedCitation":"(Muscio, 2010)","previouslyFormattedCitation":"(Muscio, 2010)"},"properties":{"noteIndex":0},"schema":"https://github.com/citation-style-language/schema/raw/master/csl-citation.json"}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(Muscio, 2010)</w:t>
      </w:r>
      <w:r w:rsidRPr="008962DB">
        <w:rPr>
          <w:rFonts w:ascii="Times New Roman" w:hAnsi="Times New Roman" w:cs="Times New Roman"/>
          <w:color w:val="000000" w:themeColor="text1"/>
          <w:sz w:val="24"/>
          <w:szCs w:val="24"/>
          <w:lang w:eastAsia="es-CO"/>
        </w:rPr>
        <w:fldChar w:fldCharType="end"/>
      </w:r>
      <w:r w:rsidRPr="008962DB">
        <w:rPr>
          <w:rFonts w:ascii="Times New Roman" w:hAnsi="Times New Roman" w:cs="Times New Roman"/>
          <w:color w:val="000000" w:themeColor="text1"/>
          <w:sz w:val="24"/>
          <w:szCs w:val="24"/>
          <w:lang w:eastAsia="es-CO"/>
        </w:rPr>
        <w:t xml:space="preserve"> y para garantizar una transición efectiva de la tecnología al mercado.</w:t>
      </w:r>
    </w:p>
    <w:p w14:paraId="31B44CA2" w14:textId="77777777" w:rsidR="008962DB" w:rsidRPr="008962DB" w:rsidRDefault="008962DB" w:rsidP="008962DB">
      <w:pPr>
        <w:pStyle w:val="Descripcin"/>
        <w:keepNext/>
        <w:spacing w:line="360" w:lineRule="auto"/>
        <w:rPr>
          <w:rFonts w:cs="Times New Roman"/>
          <w:color w:val="auto"/>
          <w:sz w:val="24"/>
          <w:szCs w:val="24"/>
        </w:rPr>
      </w:pPr>
      <w:bookmarkStart w:id="6" w:name="_Toc104340942"/>
      <w:bookmarkStart w:id="7" w:name="_Toc190621875"/>
      <w:r w:rsidRPr="008962DB">
        <w:rPr>
          <w:rFonts w:cs="Times New Roman"/>
          <w:b/>
          <w:bCs/>
          <w:i w:val="0"/>
          <w:iCs w:val="0"/>
          <w:color w:val="auto"/>
          <w:sz w:val="24"/>
          <w:szCs w:val="24"/>
        </w:rPr>
        <w:lastRenderedPageBreak/>
        <w:t xml:space="preserve">Figura </w:t>
      </w:r>
      <w:r w:rsidRPr="008962DB">
        <w:rPr>
          <w:rFonts w:cs="Times New Roman"/>
          <w:b/>
          <w:bCs/>
          <w:i w:val="0"/>
          <w:iCs w:val="0"/>
          <w:color w:val="auto"/>
          <w:sz w:val="24"/>
          <w:szCs w:val="24"/>
        </w:rPr>
        <w:fldChar w:fldCharType="begin"/>
      </w:r>
      <w:r w:rsidRPr="008962DB">
        <w:rPr>
          <w:rFonts w:cs="Times New Roman"/>
          <w:b/>
          <w:bCs/>
          <w:i w:val="0"/>
          <w:iCs w:val="0"/>
          <w:color w:val="auto"/>
          <w:sz w:val="24"/>
          <w:szCs w:val="24"/>
        </w:rPr>
        <w:instrText xml:space="preserve"> SEQ Figura \* ARABIC </w:instrText>
      </w:r>
      <w:r w:rsidRPr="008962DB">
        <w:rPr>
          <w:rFonts w:cs="Times New Roman"/>
          <w:b/>
          <w:bCs/>
          <w:i w:val="0"/>
          <w:iCs w:val="0"/>
          <w:color w:val="auto"/>
          <w:sz w:val="24"/>
          <w:szCs w:val="24"/>
        </w:rPr>
        <w:fldChar w:fldCharType="separate"/>
      </w:r>
      <w:r w:rsidRPr="008962DB">
        <w:rPr>
          <w:rFonts w:cs="Times New Roman"/>
          <w:b/>
          <w:bCs/>
          <w:i w:val="0"/>
          <w:iCs w:val="0"/>
          <w:noProof/>
          <w:color w:val="auto"/>
          <w:sz w:val="24"/>
          <w:szCs w:val="24"/>
        </w:rPr>
        <w:t>1</w:t>
      </w:r>
      <w:r w:rsidRPr="008962DB">
        <w:rPr>
          <w:rFonts w:cs="Times New Roman"/>
          <w:b/>
          <w:bCs/>
          <w:i w:val="0"/>
          <w:iCs w:val="0"/>
          <w:color w:val="auto"/>
          <w:sz w:val="24"/>
          <w:szCs w:val="24"/>
        </w:rPr>
        <w:fldChar w:fldCharType="end"/>
      </w:r>
      <w:r w:rsidRPr="008962DB">
        <w:rPr>
          <w:rFonts w:cs="Times New Roman"/>
          <w:b/>
          <w:bCs/>
          <w:i w:val="0"/>
          <w:iCs w:val="0"/>
          <w:color w:val="auto"/>
          <w:sz w:val="24"/>
          <w:szCs w:val="24"/>
        </w:rPr>
        <w:t>.</w:t>
      </w:r>
      <w:r w:rsidRPr="008962DB">
        <w:rPr>
          <w:rFonts w:cs="Times New Roman"/>
          <w:color w:val="auto"/>
          <w:sz w:val="24"/>
          <w:szCs w:val="24"/>
        </w:rPr>
        <w:t xml:space="preserve"> </w:t>
      </w:r>
      <w:r w:rsidRPr="008962DB">
        <w:rPr>
          <w:rFonts w:cs="Times New Roman"/>
          <w:color w:val="auto"/>
          <w:sz w:val="24"/>
          <w:szCs w:val="24"/>
        </w:rPr>
        <w:br/>
        <w:t>Mecanismos o tipos de acuerdos formales de transferencia tecnológica</w:t>
      </w:r>
      <w:bookmarkEnd w:id="6"/>
      <w:bookmarkEnd w:id="7"/>
    </w:p>
    <w:p w14:paraId="6CECA755" w14:textId="77777777" w:rsidR="008962DB" w:rsidRPr="008962DB" w:rsidRDefault="008962DB" w:rsidP="008962DB">
      <w:pPr>
        <w:spacing w:line="480" w:lineRule="auto"/>
        <w:ind w:firstLine="720"/>
        <w:rPr>
          <w:rFonts w:ascii="Times New Roman" w:hAnsi="Times New Roman" w:cs="Times New Roman"/>
          <w:color w:val="000000" w:themeColor="text1"/>
          <w:sz w:val="24"/>
          <w:szCs w:val="24"/>
          <w:lang w:eastAsia="es-CO"/>
        </w:rPr>
      </w:pPr>
      <w:r w:rsidRPr="008962DB">
        <w:rPr>
          <w:rFonts w:ascii="Times New Roman" w:hAnsi="Times New Roman" w:cs="Times New Roman"/>
          <w:noProof/>
          <w:sz w:val="24"/>
          <w:szCs w:val="24"/>
        </w:rPr>
        <w:drawing>
          <wp:inline distT="0" distB="0" distL="0" distR="0" wp14:anchorId="57505AA2" wp14:editId="40B1E20D">
            <wp:extent cx="4259602" cy="2664823"/>
            <wp:effectExtent l="0" t="0" r="7620" b="2540"/>
            <wp:docPr id="4" name="Imagen 4"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Diagrama&#10;&#10;Descripción generada automáticamente"/>
                    <pic:cNvPicPr/>
                  </pic:nvPicPr>
                  <pic:blipFill>
                    <a:blip r:embed="rId8">
                      <a:extLst>
                        <a:ext uri="{BEBA8EAE-BF5A-486C-A8C5-ECC9F3942E4B}">
                          <a14:imgProps xmlns:a14="http://schemas.microsoft.com/office/drawing/2010/main">
                            <a14:imgLayer r:embed="rId9">
                              <a14:imgEffect>
                                <a14:saturation sat="33000"/>
                              </a14:imgEffect>
                            </a14:imgLayer>
                          </a14:imgProps>
                        </a:ext>
                      </a:extLst>
                    </a:blip>
                    <a:stretch>
                      <a:fillRect/>
                    </a:stretch>
                  </pic:blipFill>
                  <pic:spPr>
                    <a:xfrm>
                      <a:off x="0" y="0"/>
                      <a:ext cx="4270396" cy="2671576"/>
                    </a:xfrm>
                    <a:prstGeom prst="rect">
                      <a:avLst/>
                    </a:prstGeom>
                  </pic:spPr>
                </pic:pic>
              </a:graphicData>
            </a:graphic>
          </wp:inline>
        </w:drawing>
      </w:r>
    </w:p>
    <w:p w14:paraId="4DDC68D4" w14:textId="77777777" w:rsidR="008962DB" w:rsidRPr="008962DB" w:rsidRDefault="008962DB" w:rsidP="008962DB">
      <w:pPr>
        <w:spacing w:line="480" w:lineRule="auto"/>
        <w:ind w:firstLine="720"/>
        <w:rPr>
          <w:rFonts w:ascii="Times New Roman" w:hAnsi="Times New Roman" w:cs="Times New Roman"/>
          <w:i/>
          <w:iCs/>
          <w:color w:val="000000" w:themeColor="text1"/>
          <w:sz w:val="24"/>
          <w:szCs w:val="24"/>
          <w:lang w:eastAsia="es-CO"/>
        </w:rPr>
      </w:pPr>
      <w:r w:rsidRPr="008962DB">
        <w:rPr>
          <w:rFonts w:ascii="Times New Roman" w:hAnsi="Times New Roman" w:cs="Times New Roman"/>
          <w:i/>
          <w:iCs/>
          <w:color w:val="000000" w:themeColor="text1"/>
          <w:sz w:val="24"/>
          <w:szCs w:val="24"/>
          <w:lang w:eastAsia="es-CO"/>
        </w:rPr>
        <w:t xml:space="preserve">                                    Nota: Tomado de </w:t>
      </w:r>
      <w:r w:rsidRPr="008962DB">
        <w:rPr>
          <w:rFonts w:ascii="Times New Roman" w:hAnsi="Times New Roman" w:cs="Times New Roman"/>
          <w:i/>
          <w:iCs/>
          <w:color w:val="000000" w:themeColor="text1"/>
          <w:sz w:val="24"/>
          <w:szCs w:val="24"/>
          <w:lang w:eastAsia="es-CO"/>
        </w:rPr>
        <w:fldChar w:fldCharType="begin" w:fldLock="1"/>
      </w:r>
      <w:r w:rsidRPr="008962DB">
        <w:rPr>
          <w:rFonts w:ascii="Times New Roman" w:hAnsi="Times New Roman" w:cs="Times New Roman"/>
          <w:i/>
          <w:iCs/>
          <w:color w:val="000000" w:themeColor="text1"/>
          <w:sz w:val="24"/>
          <w:szCs w:val="24"/>
          <w:lang w:eastAsia="es-CO"/>
        </w:rPr>
        <w:instrText>ADDIN CSL_CITATION {"citationItems":[{"id":"ITEM-1","itemData":{"ISBN":"978-84-613-5009-4","author":[{"dropping-particle":"","family":"Sabater","given":"Javier González","non-dropping-particle":"","parse-names":false,"suffix":""}],"id":"ITEM-1","issued":{"date-parts":[["2009"]]},"title":"Manual de trasnferencia de tecnología y conocimiento","type":"book"},"uris":["http://www.mendeley.com/documents/?uuid=707d75b6-da6f-33b3-ab5b-c1bab6a7c8e8"]}],"mendeley":{"formattedCitation":"(Sabater, 2009)","plainTextFormattedCitation":"(Sabater, 2009)","previouslyFormattedCitation":"(Sabater, 2009)"},"properties":{"noteIndex":0},"schema":"https://github.com/citation-style-language/schema/raw/master/csl-citation.json"}</w:instrText>
      </w:r>
      <w:r w:rsidRPr="008962DB">
        <w:rPr>
          <w:rFonts w:ascii="Times New Roman" w:hAnsi="Times New Roman" w:cs="Times New Roman"/>
          <w:i/>
          <w:iCs/>
          <w:color w:val="000000" w:themeColor="text1"/>
          <w:sz w:val="24"/>
          <w:szCs w:val="24"/>
          <w:lang w:eastAsia="es-CO"/>
        </w:rPr>
        <w:fldChar w:fldCharType="separate"/>
      </w:r>
      <w:r w:rsidRPr="008962DB">
        <w:rPr>
          <w:rFonts w:ascii="Times New Roman" w:hAnsi="Times New Roman" w:cs="Times New Roman"/>
          <w:i/>
          <w:iCs/>
          <w:noProof/>
          <w:color w:val="000000" w:themeColor="text1"/>
          <w:sz w:val="24"/>
          <w:szCs w:val="24"/>
          <w:lang w:eastAsia="es-CO"/>
        </w:rPr>
        <w:t>(Sabater, 2009)</w:t>
      </w:r>
      <w:r w:rsidRPr="008962DB">
        <w:rPr>
          <w:rFonts w:ascii="Times New Roman" w:hAnsi="Times New Roman" w:cs="Times New Roman"/>
          <w:i/>
          <w:iCs/>
          <w:color w:val="000000" w:themeColor="text1"/>
          <w:sz w:val="24"/>
          <w:szCs w:val="24"/>
          <w:lang w:eastAsia="es-CO"/>
        </w:rPr>
        <w:fldChar w:fldCharType="end"/>
      </w:r>
    </w:p>
    <w:p w14:paraId="1BAE7E16" w14:textId="77777777" w:rsidR="008962DB" w:rsidRPr="008962DB" w:rsidRDefault="008962DB" w:rsidP="008962DB">
      <w:pPr>
        <w:spacing w:line="480" w:lineRule="auto"/>
        <w:ind w:firstLine="720"/>
        <w:jc w:val="both"/>
        <w:rPr>
          <w:rFonts w:ascii="Times New Roman" w:hAnsi="Times New Roman" w:cs="Times New Roman"/>
          <w:color w:val="000000" w:themeColor="text1"/>
          <w:sz w:val="24"/>
          <w:szCs w:val="24"/>
          <w:lang w:eastAsia="es-CO"/>
        </w:rPr>
      </w:pPr>
      <w:r w:rsidRPr="008962DB">
        <w:rPr>
          <w:rFonts w:ascii="Times New Roman" w:hAnsi="Times New Roman" w:cs="Times New Roman"/>
          <w:sz w:val="24"/>
          <w:szCs w:val="24"/>
          <w:lang w:eastAsia="es-CO"/>
        </w:rPr>
        <w:t xml:space="preserve">Una de las actividades del proceso de gestión y formalización de acuerdos es precisamente identificar el mecanismo adecuado para garantizar una transferencia efectiva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{"citationItems":[{"id":"ITEM-1","itemData":{"ISBN":"978-84-613-5009-4","author":[{"dropping-particle":"","family":"Sabater","given":"Javier González","non-dropping-particle":"","parse-names":false,"suffix":""}],"id":"ITEM-1","issued":{"date-parts":[["2009"]]},"title":"Manual de trasnferencia de tecnología y conocimiento","type":"book"},"uris":["http://www.mendeley.com/documents/?uuid=707d75b6-da6f-33b3-ab5b-c1bab6a7c8e8"]}],"mendeley":{"formattedCitation":"(Sabater, 2009)","plainTextFormattedCitation":"(Sabater, 2009)","previouslyFormattedCitation":"(Sabater, 2009)"},"properties":{"noteIndex":0},"schema":"https://github.com/citation-style-language/schema/raw/master/csl-citation.json"}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(Sabater, 2009)</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Sin embargo, </w:t>
      </w:r>
      <w:r w:rsidRPr="008962DB">
        <w:rPr>
          <w:rFonts w:ascii="Times New Roman" w:hAnsi="Times New Roman" w:cs="Times New Roman"/>
          <w:color w:val="000000" w:themeColor="text1"/>
          <w:sz w:val="24"/>
          <w:szCs w:val="24"/>
          <w:lang w:eastAsia="es-CO"/>
        </w:rPr>
        <w:t xml:space="preserve">ante la gran variedad de mecanismo y teniendo en cuenta que la TT es muy específica de la industria y la tecnología, la selección de este mecanismo dependerá de tres elementos: las características de las tecnologías que se transfieren, la industria involucrada y la tasa de cambio tecnológico que afecta a la industria en ese momento. </w:t>
      </w:r>
      <w:r w:rsidRPr="008962DB">
        <w:rPr>
          <w:rFonts w:ascii="Times New Roman" w:hAnsi="Times New Roman" w:cs="Times New Roman"/>
          <w:color w:val="000000" w:themeColor="text1"/>
          <w:sz w:val="24"/>
          <w:szCs w:val="24"/>
          <w:lang w:eastAsia="es-CO"/>
        </w:rPr>
        <w:fldChar w:fldCharType="begin" w:fldLock="1"/>
      </w:r>
      <w:r w:rsidRPr="008962DB">
        <w:rPr>
          <w:rFonts w:ascii="Times New Roman" w:hAnsi="Times New Roman" w:cs="Times New Roman"/>
          <w:color w:val="000000" w:themeColor="text1"/>
          <w:sz w:val="24"/>
          <w:szCs w:val="24"/>
          <w:lang w:eastAsia="es-CO"/>
        </w:rPr>
        <w:instrText>ADDIN CSL_CITATION {"citationItems":[{"id":"ITEM-1","itemData":{"DOI":"10.17226/5271","ISBN":"9780309055307","author":[{"dropping-particle":"","family":"Abramson","given":"H Norman","non-dropping-particle":"","parse-names":false,"suffix":""},{"dropping-particle":"","family":"Encarnacao","given":"Jose","non-dropping-particle":"","parse-names":false,"suffix":""},{"dropping-particle":"","family":"Reid","given":"Proctor P","non-dropping-particle":"","parse-names":false,"suffix":""},{"dropping-particle":"","family":"Schmoch","given":"Ulrich","non-dropping-particle":"","parse-names":false,"suffix":""}],"container-title":"Technology Transfer Systems in the United States and Germany","id":"ITEM-1","issued":{"date-parts":[["1997"]]},"title":"Technology Transfer Systems in the United States and Germany","type":"book"},"uris":["http://www.mendeley.com/documents/?uuid=5a7994a3-9601-493a-9def-b63f60b01006"]}],"mendeley":{"formattedCitation":"(Abramson et al., 1997)","plainTextFormattedCitation":"(Abramson et al., 1997)","previouslyFormattedCitation":"(Abramson et al., 1997)"},"properties":{"noteIndex":0},"schema":"https://github.com/citation-style-language/schema/raw/master/csl-citation.json"}</w:instrText>
      </w:r>
      <w:r w:rsidRPr="008962DB">
        <w:rPr>
          <w:rFonts w:ascii="Times New Roman" w:hAnsi="Times New Roman" w:cs="Times New Roman"/>
          <w:color w:val="000000" w:themeColor="text1"/>
          <w:sz w:val="24"/>
          <w:szCs w:val="24"/>
          <w:lang w:eastAsia="es-CO"/>
        </w:rPr>
        <w:fldChar w:fldCharType="separate"/>
      </w:r>
      <w:r w:rsidRPr="008962DB">
        <w:rPr>
          <w:rFonts w:ascii="Times New Roman" w:hAnsi="Times New Roman" w:cs="Times New Roman"/>
          <w:noProof/>
          <w:color w:val="000000" w:themeColor="text1"/>
          <w:sz w:val="24"/>
          <w:szCs w:val="24"/>
          <w:lang w:eastAsia="es-CO"/>
        </w:rPr>
        <w:t>(Abramson et al., 1997)</w:t>
      </w:r>
      <w:r w:rsidRPr="008962DB">
        <w:rPr>
          <w:rFonts w:ascii="Times New Roman" w:hAnsi="Times New Roman" w:cs="Times New Roman"/>
          <w:color w:val="000000" w:themeColor="text1"/>
          <w:sz w:val="24"/>
          <w:szCs w:val="24"/>
          <w:lang w:eastAsia="es-CO"/>
        </w:rPr>
        <w:fldChar w:fldCharType="end"/>
      </w:r>
    </w:p>
    <w:p w14:paraId="1027C925" w14:textId="36EAC132" w:rsidR="008962DB" w:rsidRPr="008962DB" w:rsidRDefault="008962DB" w:rsidP="008962DB">
      <w:pPr>
        <w:spacing w:line="480" w:lineRule="auto"/>
        <w:ind w:firstLine="720"/>
        <w:jc w:val="both"/>
        <w:rPr>
          <w:rFonts w:ascii="Times New Roman" w:hAnsi="Times New Roman" w:cs="Times New Roman"/>
          <w:sz w:val="24"/>
          <w:szCs w:val="24"/>
          <w:lang w:eastAsia="es-CO"/>
        </w:rPr>
      </w:pPr>
      <w:r w:rsidRPr="008962DB">
        <w:rPr>
          <w:rFonts w:ascii="Times New Roman" w:hAnsi="Times New Roman" w:cs="Times New Roman"/>
          <w:b/>
          <w:bCs/>
          <w:i/>
          <w:iCs/>
          <w:sz w:val="24"/>
          <w:szCs w:val="24"/>
          <w:lang w:eastAsia="es-CO"/>
        </w:rPr>
        <w:t xml:space="preserve">Objeto de transferencia. </w:t>
      </w:r>
      <w:r w:rsidRPr="008962DB">
        <w:rPr>
          <w:rFonts w:ascii="Times New Roman" w:hAnsi="Times New Roman" w:cs="Times New Roman"/>
          <w:sz w:val="24"/>
          <w:szCs w:val="24"/>
          <w:lang w:eastAsia="es-CO"/>
        </w:rPr>
        <w:t xml:space="preserve">Teniendo en cuenta que el término tecnología, que es el objeto que se transfiere, puede abarcar diferentes elementos que van desde procesos industriales, diseños, marcas y secretos comerciales hasta un conjunto de teorías, técnicas, equipos y dispositivos. Por lo tanto, para su descripción, se toma la tipología definida por </w:t>
      </w:r>
      <w:sdt>
        <w:sdtPr>
          <w:rPr>
            <w:rFonts w:ascii="Times New Roman" w:hAnsi="Times New Roman" w:cs="Times New Roman"/>
            <w:sz w:val="24"/>
            <w:szCs w:val="24"/>
            <w:lang w:eastAsia="es-CO"/>
          </w:rPr>
          <w:alias w:val="To edit, see citavi.com/edit"/>
          <w:tag w:val="CitaviPlaceholder#e1b74e4a-6469-4a1a-847a-68950d8c5004"/>
          <w:id w:val="134231406"/>
          <w:placeholder>
            <w:docPart w:val="DefaultPlaceholder_-1854013440"/>
          </w:placeholder>
        </w:sdtPr>
        <w:sdtEndPr/>
        <w:sdtContent>
          <w:r w:rsidR="00EE5075">
            <w:rPr>
              <w:rFonts w:ascii="Times New Roman" w:hAnsi="Times New Roman" w:cs="Times New Roman"/>
              <w:sz w:val="24"/>
              <w:szCs w:val="24"/>
              <w:lang w:eastAsia="es-CO"/>
            </w:rPr>
            <w:fldChar w:fldCharType="begin"/>
          </w:r>
          <w:r w:rsidR="00197300">
            <w:rPr>
              <w:rFonts w:ascii="Times New Roman" w:hAnsi="Times New Roman" w:cs="Times New Roman"/>
              <w:sz w:val="24"/>
              <w:szCs w:val="24"/>
              <w:lang w:eastAsia="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Q4MjhiYTNhLWJkNmEtNGJlYy1iMDEyLWE3MWU4MWJhOGFmOSIsIlJhbmdlTGVuZ3RoIjozMSwiUmVmZXJlbmNlSWQiOiJjMjFiNjA3YS02MWI0LTQ2NGItYTU4Mi05MjYyZTY3NGYxN2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Jc2JuIjoiOTc4LTg0LTYxMy01MDA5LTQiLCJLZXl3b3JkcyI6W10sIkxvY2F0aW9ucyI6W3siJGlkIjoiMTAiLCIkdHlwZSI6IlN3aXNzQWNhZGVtaWMuQ2l0YXZpLkxvY2F0aW9uLCBTd2lzc0FjYWRlbWljLkNpdGF2aSIsIkFkZHJlc3MiOnsiJGlkIjoiMTEiLCIkdHlwZSI6IlN3aXNzQWNhZGVtaWMuQ2l0YXZpLkxpbmtlZFJlc291cmNlLCBTd2lzc0FjYWRlbWljLkNpdGF2aSIsIkxpbmtlZFJlc291cmNlVHlwZSI6NSwiT3JpZ2luYWxTdHJpbmciOiJ3d3cuZ29uemFsZXpzYWJhdGVyLmNvbS4iLCJVcmlTdHJpbmciOiJodHRwOi8vd3d3LmdvbnphbGV6c2FiYXRlci5jb20uLy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}</w:instrText>
          </w:r>
          <w:r w:rsidR="00EE5075">
            <w:rPr>
              <w:rFonts w:ascii="Times New Roman" w:hAnsi="Times New Roman" w:cs="Times New Roman"/>
              <w:sz w:val="24"/>
              <w:szCs w:val="24"/>
              <w:lang w:eastAsia="es-CO"/>
            </w:rPr>
            <w:fldChar w:fldCharType="separate"/>
          </w:r>
          <w:hyperlink w:anchor="_CTVL001c21b607a61b4464ba5829262e674f17a" w:tooltip="Javier González Sabater. (2009). Manual de trasnferencia de tecnología y conocimiento. www.gonzalezsabater.com. " w:history="1">
            <w:r w:rsidR="00197300">
              <w:rPr>
                <w:rFonts w:ascii="Times New Roman" w:hAnsi="Times New Roman" w:cs="Times New Roman"/>
                <w:sz w:val="24"/>
                <w:szCs w:val="24"/>
                <w:lang w:eastAsia="es-CO"/>
              </w:rPr>
              <w:t>(Javier González Sabater, 2009)</w:t>
            </w:r>
          </w:hyperlink>
          <w:r w:rsidR="00EE5075">
            <w:rPr>
              <w:rFonts w:ascii="Times New Roman" w:hAnsi="Times New Roman" w:cs="Times New Roman"/>
              <w:sz w:val="24"/>
              <w:szCs w:val="24"/>
              <w:lang w:eastAsia="es-CO"/>
            </w:rPr>
            <w:fldChar w:fldCharType="end"/>
          </w:r>
        </w:sdtContent>
      </w:sdt>
      <w:r w:rsidR="00F27AF6">
        <w:rPr>
          <w:rFonts w:ascii="Times New Roman" w:hAnsi="Times New Roman" w:cs="Times New Roman"/>
          <w:sz w:val="24"/>
          <w:szCs w:val="24"/>
          <w:lang w:eastAsia="es-CO"/>
        </w:rPr>
        <w:t xml:space="preserve"> </w:t>
      </w:r>
      <w:r w:rsidRPr="008962DB">
        <w:rPr>
          <w:rFonts w:ascii="Times New Roman" w:hAnsi="Times New Roman" w:cs="Times New Roman"/>
          <w:sz w:val="24"/>
          <w:szCs w:val="24"/>
          <w:lang w:eastAsia="es-CO"/>
        </w:rPr>
        <w:t>que agrupa diferentes clasificaciones nombradas por otro autores (Ver Tabla 3), además de contemplar las características o aspectos más comunes de las tecnologías a transferir. (Ver Figura 2).</w:t>
      </w:r>
    </w:p>
    <w:p w14:paraId="615C37ED" w14:textId="6F50938F" w:rsidR="008962DB" w:rsidRPr="008962DB" w:rsidRDefault="008962DB" w:rsidP="008962DB">
      <w:pPr>
        <w:pStyle w:val="Descripcin"/>
        <w:keepNext/>
        <w:spacing w:line="360" w:lineRule="auto"/>
        <w:rPr>
          <w:rFonts w:cs="Times New Roman"/>
          <w:color w:val="auto"/>
          <w:sz w:val="24"/>
          <w:szCs w:val="24"/>
        </w:rPr>
      </w:pPr>
      <w:bookmarkStart w:id="8" w:name="_Toc104341037"/>
      <w:bookmarkStart w:id="9" w:name="_Toc190621956"/>
      <w:r w:rsidRPr="008962DB">
        <w:rPr>
          <w:rFonts w:cs="Times New Roman"/>
          <w:b/>
          <w:bCs/>
          <w:i w:val="0"/>
          <w:iCs w:val="0"/>
          <w:color w:val="auto"/>
          <w:sz w:val="24"/>
          <w:szCs w:val="24"/>
        </w:rPr>
        <w:lastRenderedPageBreak/>
        <w:t xml:space="preserve">Tabla </w:t>
      </w:r>
      <w:r w:rsidRPr="008962DB">
        <w:rPr>
          <w:rFonts w:cs="Times New Roman"/>
          <w:b/>
          <w:bCs/>
          <w:i w:val="0"/>
          <w:iCs w:val="0"/>
          <w:color w:val="auto"/>
          <w:sz w:val="24"/>
          <w:szCs w:val="24"/>
        </w:rPr>
        <w:fldChar w:fldCharType="begin"/>
      </w:r>
      <w:r w:rsidRPr="008962DB">
        <w:rPr>
          <w:rFonts w:cs="Times New Roman"/>
          <w:b/>
          <w:bCs/>
          <w:i w:val="0"/>
          <w:iCs w:val="0"/>
          <w:color w:val="auto"/>
          <w:sz w:val="24"/>
          <w:szCs w:val="24"/>
        </w:rPr>
        <w:instrText xml:space="preserve"> SEQ Tabla \* ARABIC </w:instrText>
      </w:r>
      <w:r w:rsidRPr="008962DB">
        <w:rPr>
          <w:rFonts w:cs="Times New Roman"/>
          <w:b/>
          <w:bCs/>
          <w:i w:val="0"/>
          <w:iCs w:val="0"/>
          <w:color w:val="auto"/>
          <w:sz w:val="24"/>
          <w:szCs w:val="24"/>
        </w:rPr>
        <w:fldChar w:fldCharType="separate"/>
      </w:r>
      <w:r w:rsidR="0032377E">
        <w:rPr>
          <w:rFonts w:cs="Times New Roman"/>
          <w:b/>
          <w:bCs/>
          <w:i w:val="0"/>
          <w:iCs w:val="0"/>
          <w:noProof/>
          <w:color w:val="auto"/>
          <w:sz w:val="24"/>
          <w:szCs w:val="24"/>
        </w:rPr>
        <w:t>2</w:t>
      </w:r>
      <w:r w:rsidRPr="008962DB">
        <w:rPr>
          <w:rFonts w:cs="Times New Roman"/>
          <w:b/>
          <w:bCs/>
          <w:i w:val="0"/>
          <w:iCs w:val="0"/>
          <w:color w:val="auto"/>
          <w:sz w:val="24"/>
          <w:szCs w:val="24"/>
        </w:rPr>
        <w:fldChar w:fldCharType="end"/>
      </w:r>
      <w:r w:rsidRPr="008962DB">
        <w:rPr>
          <w:rFonts w:cs="Times New Roman"/>
          <w:b/>
          <w:bCs/>
          <w:i w:val="0"/>
          <w:iCs w:val="0"/>
          <w:color w:val="auto"/>
          <w:sz w:val="24"/>
          <w:szCs w:val="24"/>
        </w:rPr>
        <w:t>.</w:t>
      </w:r>
      <w:r w:rsidRPr="008962DB">
        <w:rPr>
          <w:rFonts w:cs="Times New Roman"/>
          <w:color w:val="auto"/>
          <w:sz w:val="24"/>
          <w:szCs w:val="24"/>
        </w:rPr>
        <w:t xml:space="preserve"> </w:t>
      </w:r>
      <w:r w:rsidRPr="008962DB">
        <w:rPr>
          <w:rFonts w:cs="Times New Roman"/>
          <w:color w:val="auto"/>
          <w:sz w:val="24"/>
          <w:szCs w:val="24"/>
        </w:rPr>
        <w:br/>
        <w:t>Tipos de tecnología para transferir</w:t>
      </w:r>
      <w:bookmarkEnd w:id="8"/>
      <w:bookmarkEnd w:id="9"/>
    </w:p>
    <w:tbl>
      <w:tblPr>
        <w:tblStyle w:val="Tablanormal4"/>
        <w:tblW w:w="0" w:type="auto"/>
        <w:tblLook w:val="04A0" w:firstRow="1" w:lastRow="0" w:firstColumn="1" w:lastColumn="0" w:noHBand="0" w:noVBand="1"/>
      </w:tblPr>
      <w:tblGrid>
        <w:gridCol w:w="3261"/>
        <w:gridCol w:w="278"/>
        <w:gridCol w:w="5491"/>
      </w:tblGrid>
      <w:tr w:rsidR="008962DB" w:rsidRPr="008962DB" w14:paraId="410906BF" w14:textId="77777777" w:rsidTr="00FD66A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39" w:type="dxa"/>
            <w:gridSpan w:val="2"/>
            <w:shd w:val="clear" w:color="auto" w:fill="E7E6E6" w:themeFill="background2"/>
            <w:vAlign w:val="center"/>
          </w:tcPr>
          <w:p w14:paraId="29DA74BD" w14:textId="77777777" w:rsidR="008962DB" w:rsidRPr="008962DB" w:rsidRDefault="008962DB" w:rsidP="00FD66A3">
            <w:pPr>
              <w:spacing w:line="480" w:lineRule="auto"/>
              <w:jc w:val="center"/>
              <w:rPr>
                <w:rFonts w:ascii="Times New Roman" w:hAnsi="Times New Roman" w:cs="Times New Roman"/>
                <w:sz w:val="20"/>
                <w:szCs w:val="20"/>
                <w:lang w:eastAsia="es-CO"/>
              </w:rPr>
            </w:pPr>
            <w:r w:rsidRPr="008962DB">
              <w:rPr>
                <w:rFonts w:ascii="Times New Roman" w:hAnsi="Times New Roman" w:cs="Times New Roman"/>
                <w:sz w:val="20"/>
                <w:szCs w:val="20"/>
              </w:rPr>
              <w:t>TIPO DE TECNOLOGÍA</w:t>
            </w:r>
          </w:p>
        </w:tc>
        <w:tc>
          <w:tcPr>
            <w:tcW w:w="5491" w:type="dxa"/>
            <w:shd w:val="clear" w:color="auto" w:fill="E7E6E6" w:themeFill="background2"/>
            <w:vAlign w:val="center"/>
          </w:tcPr>
          <w:p w14:paraId="3CBD30E1" w14:textId="77777777" w:rsidR="008962DB" w:rsidRPr="008962DB" w:rsidRDefault="008962DB" w:rsidP="00FD66A3">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s-CO"/>
              </w:rPr>
            </w:pPr>
            <w:r w:rsidRPr="008962DB">
              <w:rPr>
                <w:rFonts w:ascii="Times New Roman" w:hAnsi="Times New Roman" w:cs="Times New Roman"/>
                <w:sz w:val="20"/>
                <w:szCs w:val="20"/>
              </w:rPr>
              <w:t>DESCRIPCIÓN</w:t>
            </w:r>
          </w:p>
        </w:tc>
      </w:tr>
      <w:tr w:rsidR="008962DB" w:rsidRPr="008962DB" w14:paraId="4523817B" w14:textId="77777777" w:rsidTr="00FD66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FFFFFF" w:themeFill="background1"/>
            <w:vAlign w:val="center"/>
          </w:tcPr>
          <w:p w14:paraId="1254B384" w14:textId="77777777" w:rsidR="008962DB" w:rsidRPr="008962DB" w:rsidRDefault="008962DB" w:rsidP="00FD66A3">
            <w:pPr>
              <w:spacing w:line="480" w:lineRule="auto"/>
              <w:rPr>
                <w:rFonts w:ascii="Times New Roman" w:hAnsi="Times New Roman" w:cs="Times New Roman"/>
                <w:sz w:val="20"/>
                <w:szCs w:val="20"/>
                <w:lang w:eastAsia="es-CO"/>
              </w:rPr>
            </w:pPr>
            <w:r w:rsidRPr="008962DB">
              <w:rPr>
                <w:rFonts w:ascii="Times New Roman" w:hAnsi="Times New Roman" w:cs="Times New Roman"/>
                <w:sz w:val="20"/>
                <w:szCs w:val="20"/>
              </w:rPr>
              <w:t>Derechos de propiedad</w:t>
            </w:r>
          </w:p>
        </w:tc>
        <w:tc>
          <w:tcPr>
            <w:tcW w:w="5769" w:type="dxa"/>
            <w:gridSpan w:val="2"/>
            <w:tcBorders>
              <w:bottom w:val="single" w:sz="4" w:space="0" w:color="auto"/>
            </w:tcBorders>
            <w:shd w:val="clear" w:color="auto" w:fill="FFFFFF" w:themeFill="background1"/>
            <w:vAlign w:val="center"/>
          </w:tcPr>
          <w:p w14:paraId="56779888" w14:textId="77777777" w:rsidR="008962DB" w:rsidRPr="008962DB" w:rsidRDefault="008962DB" w:rsidP="00FD66A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es-CO"/>
              </w:rPr>
            </w:pPr>
            <w:r w:rsidRPr="008962DB">
              <w:rPr>
                <w:rFonts w:ascii="Times New Roman" w:hAnsi="Times New Roman" w:cs="Times New Roman"/>
                <w:sz w:val="20"/>
                <w:szCs w:val="20"/>
              </w:rPr>
              <w:t>Tecnología protegida mediante derechos de propiedad industrial e intelectual (patentes, modelos de utilidad, diseños, marcas, derechos de autor, etc.)</w:t>
            </w:r>
          </w:p>
        </w:tc>
      </w:tr>
      <w:tr w:rsidR="008962DB" w:rsidRPr="008962DB" w14:paraId="45783A6E" w14:textId="77777777" w:rsidTr="00FD66A3">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bottom w:val="single" w:sz="4" w:space="0" w:color="auto"/>
            </w:tcBorders>
            <w:shd w:val="clear" w:color="auto" w:fill="FFFFFF" w:themeFill="background1"/>
            <w:vAlign w:val="center"/>
          </w:tcPr>
          <w:p w14:paraId="7E2B30FC" w14:textId="77777777" w:rsidR="008962DB" w:rsidRPr="008962DB" w:rsidRDefault="008962DB" w:rsidP="00FD66A3">
            <w:pPr>
              <w:tabs>
                <w:tab w:val="left" w:pos="942"/>
              </w:tabs>
              <w:spacing w:line="480" w:lineRule="auto"/>
              <w:rPr>
                <w:rFonts w:ascii="Times New Roman" w:hAnsi="Times New Roman" w:cs="Times New Roman"/>
                <w:sz w:val="20"/>
                <w:szCs w:val="20"/>
                <w:lang w:eastAsia="es-CO"/>
              </w:rPr>
            </w:pPr>
            <w:r w:rsidRPr="008962DB">
              <w:rPr>
                <w:rFonts w:ascii="Times New Roman" w:hAnsi="Times New Roman" w:cs="Times New Roman"/>
                <w:sz w:val="20"/>
                <w:szCs w:val="20"/>
              </w:rPr>
              <w:t>Conocimiento científico</w:t>
            </w:r>
          </w:p>
        </w:tc>
        <w:tc>
          <w:tcPr>
            <w:tcW w:w="5769" w:type="dxa"/>
            <w:gridSpan w:val="2"/>
            <w:tcBorders>
              <w:top w:val="single" w:sz="4" w:space="0" w:color="auto"/>
              <w:bottom w:val="single" w:sz="4" w:space="0" w:color="auto"/>
            </w:tcBorders>
            <w:shd w:val="clear" w:color="auto" w:fill="FFFFFF" w:themeFill="background1"/>
            <w:vAlign w:val="center"/>
          </w:tcPr>
          <w:p w14:paraId="5A032390" w14:textId="77777777" w:rsidR="008962DB" w:rsidRPr="008962DB" w:rsidRDefault="008962DB" w:rsidP="00FD66A3">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es-CO"/>
              </w:rPr>
            </w:pPr>
            <w:r w:rsidRPr="008962DB">
              <w:rPr>
                <w:rFonts w:ascii="Times New Roman" w:hAnsi="Times New Roman" w:cs="Times New Roman"/>
                <w:sz w:val="20"/>
                <w:szCs w:val="20"/>
              </w:rPr>
              <w:t>Conocimiento y capacidades científicas y tecnológicas para desarrollar actividades futuras de I+D, generalmente a través de la sabiduría y la experiencia académica-científica.</w:t>
            </w:r>
          </w:p>
        </w:tc>
      </w:tr>
      <w:tr w:rsidR="008962DB" w:rsidRPr="008962DB" w14:paraId="692C4155" w14:textId="77777777" w:rsidTr="00FD66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bottom w:val="single" w:sz="4" w:space="0" w:color="auto"/>
            </w:tcBorders>
            <w:shd w:val="clear" w:color="auto" w:fill="FFFFFF" w:themeFill="background1"/>
            <w:vAlign w:val="center"/>
          </w:tcPr>
          <w:p w14:paraId="3066761D" w14:textId="77777777" w:rsidR="008962DB" w:rsidRPr="008962DB" w:rsidRDefault="008962DB" w:rsidP="00FD66A3">
            <w:pPr>
              <w:spacing w:line="480" w:lineRule="auto"/>
              <w:rPr>
                <w:rFonts w:ascii="Times New Roman" w:hAnsi="Times New Roman" w:cs="Times New Roman"/>
                <w:sz w:val="20"/>
                <w:szCs w:val="20"/>
                <w:lang w:eastAsia="es-CO"/>
              </w:rPr>
            </w:pPr>
            <w:r w:rsidRPr="008962DB">
              <w:rPr>
                <w:rFonts w:ascii="Times New Roman" w:hAnsi="Times New Roman" w:cs="Times New Roman"/>
                <w:sz w:val="20"/>
                <w:szCs w:val="20"/>
              </w:rPr>
              <w:t>Conocimiento Técnico</w:t>
            </w:r>
          </w:p>
        </w:tc>
        <w:tc>
          <w:tcPr>
            <w:tcW w:w="5769" w:type="dxa"/>
            <w:gridSpan w:val="2"/>
            <w:tcBorders>
              <w:top w:val="single" w:sz="4" w:space="0" w:color="auto"/>
              <w:bottom w:val="single" w:sz="4" w:space="0" w:color="auto"/>
            </w:tcBorders>
            <w:shd w:val="clear" w:color="auto" w:fill="FFFFFF" w:themeFill="background1"/>
            <w:vAlign w:val="center"/>
          </w:tcPr>
          <w:p w14:paraId="65CDFC71" w14:textId="77777777" w:rsidR="008962DB" w:rsidRPr="008962DB" w:rsidRDefault="008962DB" w:rsidP="00FD66A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962DB">
              <w:rPr>
                <w:rFonts w:ascii="Times New Roman" w:hAnsi="Times New Roman" w:cs="Times New Roman"/>
                <w:sz w:val="20"/>
                <w:szCs w:val="20"/>
              </w:rPr>
              <w:t>Conocimientos y habilidades técnicas, generalmente ocultos o de dominio público, aunque muy específicos y proporcionados por expertos en la materia o mediante infraestructura singular. (servicios intensivos de conocimiento).</w:t>
            </w:r>
          </w:p>
          <w:p w14:paraId="2A5A66F3" w14:textId="77777777" w:rsidR="008962DB" w:rsidRPr="008962DB" w:rsidRDefault="008962DB" w:rsidP="00FD66A3">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es-CO"/>
              </w:rPr>
            </w:pPr>
          </w:p>
        </w:tc>
      </w:tr>
      <w:tr w:rsidR="008962DB" w:rsidRPr="008962DB" w14:paraId="382618C4" w14:textId="77777777" w:rsidTr="00FD66A3">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bottom w:val="single" w:sz="4" w:space="0" w:color="auto"/>
            </w:tcBorders>
            <w:shd w:val="clear" w:color="auto" w:fill="FFFFFF" w:themeFill="background1"/>
            <w:vAlign w:val="center"/>
          </w:tcPr>
          <w:p w14:paraId="61D3378A" w14:textId="77777777" w:rsidR="008962DB" w:rsidRPr="008962DB" w:rsidRDefault="008962DB" w:rsidP="00FD66A3">
            <w:pPr>
              <w:spacing w:line="480" w:lineRule="auto"/>
              <w:rPr>
                <w:rFonts w:ascii="Times New Roman" w:hAnsi="Times New Roman" w:cs="Times New Roman"/>
                <w:sz w:val="20"/>
                <w:szCs w:val="20"/>
              </w:rPr>
            </w:pPr>
            <w:r w:rsidRPr="008962DB">
              <w:rPr>
                <w:rFonts w:ascii="Times New Roman" w:hAnsi="Times New Roman" w:cs="Times New Roman"/>
                <w:sz w:val="20"/>
                <w:szCs w:val="20"/>
              </w:rPr>
              <w:t>Bienes de equipo y TIC</w:t>
            </w:r>
          </w:p>
        </w:tc>
        <w:tc>
          <w:tcPr>
            <w:tcW w:w="5769" w:type="dxa"/>
            <w:gridSpan w:val="2"/>
            <w:tcBorders>
              <w:top w:val="single" w:sz="4" w:space="0" w:color="auto"/>
              <w:bottom w:val="single" w:sz="4" w:space="0" w:color="auto"/>
            </w:tcBorders>
            <w:shd w:val="clear" w:color="auto" w:fill="FFFFFF" w:themeFill="background1"/>
            <w:vAlign w:val="center"/>
          </w:tcPr>
          <w:p w14:paraId="7F0684EB" w14:textId="77777777" w:rsidR="008962DB" w:rsidRPr="008962DB" w:rsidRDefault="008962DB" w:rsidP="00FD66A3">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962DB">
              <w:rPr>
                <w:rFonts w:ascii="Times New Roman" w:hAnsi="Times New Roman" w:cs="Times New Roman"/>
                <w:sz w:val="20"/>
                <w:szCs w:val="20"/>
              </w:rPr>
              <w:t>Activos materiales intensivos en capital ya disponibles en el mercado para el público objetivo, generalmente desarrollados y comercializados por empresas, que suponen una fuente importante de innovación tecnológica relevante para ciertas empresas.</w:t>
            </w:r>
          </w:p>
        </w:tc>
      </w:tr>
    </w:tbl>
    <w:p w14:paraId="2890F889" w14:textId="77777777" w:rsidR="008962DB" w:rsidRPr="008962DB" w:rsidRDefault="008962DB" w:rsidP="008962DB">
      <w:pPr>
        <w:jc w:val="center"/>
        <w:rPr>
          <w:rFonts w:ascii="Times New Roman" w:hAnsi="Times New Roman" w:cs="Times New Roman"/>
          <w:i/>
          <w:iCs/>
          <w:sz w:val="24"/>
          <w:szCs w:val="24"/>
        </w:rPr>
      </w:pPr>
    </w:p>
    <w:p w14:paraId="5C9B77BC" w14:textId="77777777" w:rsidR="008962DB" w:rsidRPr="008962DB" w:rsidRDefault="008962DB" w:rsidP="008962DB">
      <w:pPr>
        <w:jc w:val="center"/>
        <w:rPr>
          <w:rFonts w:ascii="Times New Roman" w:hAnsi="Times New Roman" w:cs="Times New Roman"/>
          <w:i/>
          <w:iCs/>
          <w:sz w:val="20"/>
          <w:szCs w:val="20"/>
        </w:rPr>
      </w:pPr>
      <w:r w:rsidRPr="008962DB">
        <w:rPr>
          <w:rFonts w:ascii="Times New Roman" w:hAnsi="Times New Roman" w:cs="Times New Roman"/>
          <w:i/>
          <w:iCs/>
          <w:sz w:val="20"/>
          <w:szCs w:val="20"/>
        </w:rPr>
        <w:t xml:space="preserve">Nota: Adaptado de </w:t>
      </w:r>
      <w:r w:rsidRPr="008962DB">
        <w:rPr>
          <w:rFonts w:ascii="Times New Roman" w:hAnsi="Times New Roman" w:cs="Times New Roman"/>
          <w:i/>
          <w:iCs/>
          <w:sz w:val="20"/>
          <w:szCs w:val="20"/>
        </w:rPr>
        <w:fldChar w:fldCharType="begin" w:fldLock="1"/>
      </w:r>
      <w:r w:rsidRPr="008962DB">
        <w:rPr>
          <w:rFonts w:ascii="Times New Roman" w:hAnsi="Times New Roman" w:cs="Times New Roman"/>
          <w:i/>
          <w:iCs/>
          <w:sz w:val="20"/>
          <w:szCs w:val="20"/>
        </w:rPr>
        <w:instrText>ADDIN CSL_CITATION {"citationItems":[{"id":"ITEM-1","itemData":{"ISBN":"978-84-613-5009-4","author":[{"dropping-particle":"","family":"Sabater","given":"Javier González","non-dropping-particle":"","parse-names":false,"suffix":""}],"id":"ITEM-1","issued":{"date-parts":[["2009"]]},"title":"Manual de trasnferencia de tecnología y conocimiento","type":"book"},"uris":["http://www.mendeley.com/documents/?uuid=707d75b6-da6f-33b3-ab5b-c1bab6a7c8e8"]}],"mendeley":{"formattedCitation":"(Sabater, 2009)","plainTextFormattedCitation":"(Sabater, 2009)","previouslyFormattedCitation":"(Sabater, 2009)"},"properties":{"noteIndex":0},"schema":"https://github.com/citation-style-language/schema/raw/master/csl-citation.json"}</w:instrText>
      </w:r>
      <w:r w:rsidRPr="008962DB">
        <w:rPr>
          <w:rFonts w:ascii="Times New Roman" w:hAnsi="Times New Roman" w:cs="Times New Roman"/>
          <w:i/>
          <w:iCs/>
          <w:sz w:val="20"/>
          <w:szCs w:val="20"/>
        </w:rPr>
        <w:fldChar w:fldCharType="separate"/>
      </w:r>
      <w:r w:rsidRPr="008962DB">
        <w:rPr>
          <w:rFonts w:ascii="Times New Roman" w:hAnsi="Times New Roman" w:cs="Times New Roman"/>
          <w:i/>
          <w:iCs/>
          <w:noProof/>
          <w:sz w:val="20"/>
          <w:szCs w:val="20"/>
        </w:rPr>
        <w:t>(Sabater, 2009)</w:t>
      </w:r>
      <w:r w:rsidRPr="008962DB">
        <w:rPr>
          <w:rFonts w:ascii="Times New Roman" w:hAnsi="Times New Roman" w:cs="Times New Roman"/>
          <w:i/>
          <w:iCs/>
          <w:sz w:val="20"/>
          <w:szCs w:val="20"/>
        </w:rPr>
        <w:fldChar w:fldCharType="end"/>
      </w:r>
    </w:p>
    <w:p w14:paraId="534D4A93" w14:textId="0DB48D01" w:rsidR="008962DB" w:rsidRPr="008962DB" w:rsidRDefault="008962DB" w:rsidP="008962DB">
      <w:pPr>
        <w:pStyle w:val="Descripcin"/>
        <w:keepNext/>
        <w:spacing w:line="360" w:lineRule="auto"/>
        <w:rPr>
          <w:rFonts w:cs="Times New Roman"/>
          <w:color w:val="auto"/>
          <w:sz w:val="24"/>
          <w:szCs w:val="24"/>
        </w:rPr>
      </w:pPr>
      <w:bookmarkStart w:id="10" w:name="_Toc104340943"/>
      <w:bookmarkStart w:id="11" w:name="_Toc190621876"/>
      <w:r w:rsidRPr="008962DB">
        <w:rPr>
          <w:rFonts w:cs="Times New Roman"/>
          <w:b/>
          <w:bCs/>
          <w:i w:val="0"/>
          <w:iCs w:val="0"/>
          <w:color w:val="auto"/>
          <w:sz w:val="24"/>
          <w:szCs w:val="24"/>
        </w:rPr>
        <w:t xml:space="preserve">Figura </w:t>
      </w:r>
      <w:r w:rsidRPr="008962DB">
        <w:rPr>
          <w:rFonts w:cs="Times New Roman"/>
          <w:b/>
          <w:bCs/>
          <w:i w:val="0"/>
          <w:iCs w:val="0"/>
          <w:color w:val="auto"/>
          <w:sz w:val="24"/>
          <w:szCs w:val="24"/>
        </w:rPr>
        <w:fldChar w:fldCharType="begin"/>
      </w:r>
      <w:r w:rsidRPr="008962DB">
        <w:rPr>
          <w:rFonts w:cs="Times New Roman"/>
          <w:b/>
          <w:bCs/>
          <w:i w:val="0"/>
          <w:iCs w:val="0"/>
          <w:color w:val="auto"/>
          <w:sz w:val="24"/>
          <w:szCs w:val="24"/>
        </w:rPr>
        <w:instrText xml:space="preserve"> SEQ Figura \* ARABIC </w:instrText>
      </w:r>
      <w:r w:rsidRPr="008962DB">
        <w:rPr>
          <w:rFonts w:cs="Times New Roman"/>
          <w:b/>
          <w:bCs/>
          <w:i w:val="0"/>
          <w:iCs w:val="0"/>
          <w:color w:val="auto"/>
          <w:sz w:val="24"/>
          <w:szCs w:val="24"/>
        </w:rPr>
        <w:fldChar w:fldCharType="separate"/>
      </w:r>
      <w:r w:rsidR="0032377E">
        <w:rPr>
          <w:rFonts w:cs="Times New Roman"/>
          <w:b/>
          <w:bCs/>
          <w:i w:val="0"/>
          <w:iCs w:val="0"/>
          <w:noProof/>
          <w:color w:val="auto"/>
          <w:sz w:val="24"/>
          <w:szCs w:val="24"/>
        </w:rPr>
        <w:t>2</w:t>
      </w:r>
      <w:r w:rsidRPr="008962DB">
        <w:rPr>
          <w:rFonts w:cs="Times New Roman"/>
          <w:b/>
          <w:bCs/>
          <w:i w:val="0"/>
          <w:iCs w:val="0"/>
          <w:color w:val="auto"/>
          <w:sz w:val="24"/>
          <w:szCs w:val="24"/>
        </w:rPr>
        <w:fldChar w:fldCharType="end"/>
      </w:r>
      <w:r w:rsidRPr="008962DB">
        <w:rPr>
          <w:rFonts w:cs="Times New Roman"/>
          <w:b/>
          <w:bCs/>
          <w:i w:val="0"/>
          <w:iCs w:val="0"/>
          <w:color w:val="auto"/>
          <w:sz w:val="24"/>
          <w:szCs w:val="24"/>
        </w:rPr>
        <w:t>.</w:t>
      </w:r>
      <w:r w:rsidRPr="008962DB">
        <w:rPr>
          <w:rFonts w:cs="Times New Roman"/>
          <w:color w:val="auto"/>
          <w:sz w:val="24"/>
          <w:szCs w:val="24"/>
        </w:rPr>
        <w:t xml:space="preserve"> </w:t>
      </w:r>
      <w:r w:rsidRPr="008962DB">
        <w:rPr>
          <w:rFonts w:cs="Times New Roman"/>
          <w:color w:val="auto"/>
          <w:sz w:val="24"/>
          <w:szCs w:val="24"/>
        </w:rPr>
        <w:br/>
        <w:t>Aspectos de la tecnología para la transferencia</w:t>
      </w:r>
      <w:bookmarkEnd w:id="10"/>
      <w:bookmarkEnd w:id="11"/>
    </w:p>
    <w:p w14:paraId="5732DD17" w14:textId="77777777" w:rsidR="008962DB" w:rsidRPr="008962DB" w:rsidRDefault="008962DB" w:rsidP="008962DB">
      <w:pPr>
        <w:spacing w:line="480" w:lineRule="auto"/>
        <w:ind w:firstLine="142"/>
        <w:rPr>
          <w:rFonts w:ascii="Times New Roman" w:hAnsi="Times New Roman" w:cs="Times New Roman"/>
          <w:sz w:val="24"/>
          <w:szCs w:val="24"/>
          <w:lang w:eastAsia="es-CO"/>
        </w:rPr>
      </w:pPr>
      <w:r w:rsidRPr="008962DB">
        <w:rPr>
          <w:rFonts w:ascii="Times New Roman" w:hAnsi="Times New Roman" w:cs="Times New Roman"/>
          <w:noProof/>
          <w:sz w:val="24"/>
          <w:szCs w:val="24"/>
        </w:rPr>
        <w:drawing>
          <wp:inline distT="0" distB="0" distL="0" distR="0" wp14:anchorId="0339E777" wp14:editId="5013D222">
            <wp:extent cx="5184700" cy="2405380"/>
            <wp:effectExtent l="0" t="0" r="0" b="0"/>
            <wp:docPr id="5" name="Imagen 5"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agrama&#10;&#10;Descripción generada automáticamente"/>
                    <pic:cNvPicPr/>
                  </pic:nvPicPr>
                  <pic:blipFill>
                    <a:blip r:embed="rId10"/>
                    <a:stretch>
                      <a:fillRect/>
                    </a:stretch>
                  </pic:blipFill>
                  <pic:spPr>
                    <a:xfrm>
                      <a:off x="0" y="0"/>
                      <a:ext cx="5217266" cy="2420488"/>
                    </a:xfrm>
                    <a:prstGeom prst="rect">
                      <a:avLst/>
                    </a:prstGeom>
                  </pic:spPr>
                </pic:pic>
              </a:graphicData>
            </a:graphic>
          </wp:inline>
        </w:drawing>
      </w:r>
    </w:p>
    <w:p w14:paraId="5558A694" w14:textId="77777777" w:rsidR="008962DB" w:rsidRPr="008962DB" w:rsidRDefault="008962DB" w:rsidP="008962DB">
      <w:pPr>
        <w:jc w:val="center"/>
        <w:rPr>
          <w:rFonts w:ascii="Times New Roman" w:hAnsi="Times New Roman" w:cs="Times New Roman"/>
          <w:i/>
          <w:iCs/>
          <w:sz w:val="20"/>
          <w:szCs w:val="20"/>
        </w:rPr>
      </w:pPr>
      <w:r w:rsidRPr="008962DB">
        <w:rPr>
          <w:rFonts w:ascii="Times New Roman" w:hAnsi="Times New Roman" w:cs="Times New Roman"/>
          <w:i/>
          <w:iCs/>
          <w:sz w:val="20"/>
          <w:szCs w:val="20"/>
        </w:rPr>
        <w:t xml:space="preserve">Nota: Adaptado de </w:t>
      </w:r>
      <w:r w:rsidRPr="008962DB">
        <w:rPr>
          <w:rFonts w:ascii="Times New Roman" w:hAnsi="Times New Roman" w:cs="Times New Roman"/>
          <w:i/>
          <w:iCs/>
          <w:sz w:val="20"/>
          <w:szCs w:val="20"/>
        </w:rPr>
        <w:fldChar w:fldCharType="begin" w:fldLock="1"/>
      </w:r>
      <w:r w:rsidRPr="008962DB">
        <w:rPr>
          <w:rFonts w:ascii="Times New Roman" w:hAnsi="Times New Roman" w:cs="Times New Roman"/>
          <w:i/>
          <w:iCs/>
          <w:sz w:val="20"/>
          <w:szCs w:val="20"/>
        </w:rPr>
        <w:instrText>ADDIN CSL_CITATION {"citationItems":[{"id":"ITEM-1","itemData":{"ISBN":"978-84-613-5009-4","author":[{"dropping-particle":"","family":"Sabater","given":"Javier González","non-dropping-particle":"","parse-names":false,"suffix":""}],"id":"ITEM-1","issued":{"date-parts":[["2009"]]},"title":"Manual de trasnferencia de tecnología y conocimiento","type":"book"},"uris":["http://www.mendeley.com/documents/?uuid=707d75b6-da6f-33b3-ab5b-c1bab6a7c8e8"]},{"id":"ITEM-2","itemData":{"DOI":"10.1093/ICC/DTM023","ISSN":"09606491","abstract":"The literature on university entrepreneurship is rapidly expanding, in both the United States and Europe. Since the literature is also fairly fragmented, however, we submit that it is time to take stock of the current knowledge to provide directions for future research and guideposts for policy makers. To accomplish this, we present an unusually comprehensive and detailed literature analysis of the stream of research on university entrepreneurship, now encompassing 173 articles published in a variety of academic journals. Four major research streams emerge in this area of study: (i) entrepreneurial research university, (ii) productivity of technology transfer offices, (iii) new firm creation, and (iv) environmental context including networks of innovation. We inductively derive a framework describing the dynamic process of university entrepreneurship based on a synthesis of the literature. We submit that this framework is useful in guiding future research on this important, yet complex and under-researched topic. © The Author 2007. Published by Oxford University Press on behalf of Associazione ICC. All rights reserved.","author":[{"dropping-particle":"","family":"Rothaermel","given":"Frank T.","non-dropping-particle":"","parse-names":false,"suffix":""},{"dropping-particle":"","family":"Agung","given":"Shanti D.","non-dropping-particle":"","parse-names":false,"suffix":""},{"dropping-particle":"","family":"Jiang","given":"Lin","non-dropping-particle":"","parse-names":false,"suffix":""}],"container-title":"Industrial and Corporate Change","id":"ITEM-2","issue":"4","issued":{"date-parts":[["2007","8"]]},"page":"691-791","title":"University entrepreneurship: A taxonomy of the literature","type":"article-journal","volume":"16"},"uris":["http://www.mendeley.com/documents/?uuid=f2c1ace6-6557-34ee-a986-8b4faac85128"]}],"mendeley":{"formattedCitation":"(Rothaermel et al., 2007; Sabater, 2009)","plainTextFormattedCitation":"(Rothaermel et al., 2007; Sabater, 2009)","previouslyFormattedCitation":"(Rothaermel et al., 2007; Sabater, 2009)"},"properties":{"noteIndex":0},"schema":"https://github.com/citation-style-language/schema/raw/master/csl-citation.json"}</w:instrText>
      </w:r>
      <w:r w:rsidRPr="008962DB">
        <w:rPr>
          <w:rFonts w:ascii="Times New Roman" w:hAnsi="Times New Roman" w:cs="Times New Roman"/>
          <w:i/>
          <w:iCs/>
          <w:sz w:val="20"/>
          <w:szCs w:val="20"/>
        </w:rPr>
        <w:fldChar w:fldCharType="separate"/>
      </w:r>
      <w:r w:rsidRPr="008962DB">
        <w:rPr>
          <w:rFonts w:ascii="Times New Roman" w:hAnsi="Times New Roman" w:cs="Times New Roman"/>
          <w:iCs/>
          <w:noProof/>
          <w:sz w:val="20"/>
          <w:szCs w:val="20"/>
        </w:rPr>
        <w:t>(Rothaermel et al., 2007; Sabater, 2009)</w:t>
      </w:r>
      <w:r w:rsidRPr="008962DB">
        <w:rPr>
          <w:rFonts w:ascii="Times New Roman" w:hAnsi="Times New Roman" w:cs="Times New Roman"/>
          <w:i/>
          <w:iCs/>
          <w:sz w:val="20"/>
          <w:szCs w:val="20"/>
        </w:rPr>
        <w:fldChar w:fldCharType="end"/>
      </w:r>
    </w:p>
    <w:p w14:paraId="78A591C3" w14:textId="2BF70BEE" w:rsidR="008962DB" w:rsidRPr="008962DB" w:rsidRDefault="008962DB" w:rsidP="008962DB">
      <w:pPr>
        <w:spacing w:line="480" w:lineRule="auto"/>
        <w:ind w:firstLine="720"/>
        <w:jc w:val="both"/>
        <w:rPr>
          <w:rFonts w:ascii="Times New Roman" w:eastAsia="Times New Roman" w:hAnsi="Times New Roman" w:cs="Times New Roman"/>
          <w:sz w:val="24"/>
          <w:szCs w:val="24"/>
        </w:rPr>
      </w:pPr>
      <w:r w:rsidRPr="008962DB">
        <w:rPr>
          <w:rFonts w:ascii="Times New Roman" w:eastAsia="Times New Roman" w:hAnsi="Times New Roman" w:cs="Times New Roman"/>
          <w:sz w:val="24"/>
          <w:szCs w:val="24"/>
        </w:rPr>
        <w:lastRenderedPageBreak/>
        <w:t xml:space="preserve">Además de los aspectos mencionados en la Figura 2, existe otro elemento mencionado en la literatura relacionado con la tecnología que se desea transferir al mercado, conocido como TRLs o Niveles de Preparación Tecnológica, una herramienta que permite evaluar la preparación de tuna tecnología desde su concepción hasta la operación económica completa. Se ha demostrado la eficacia de los TRLs en la evaluación de proyectos de tecnología y los gobiernos y otros organismos de financiación suelen utilizarlos para definir los criterios de elegibilidad </w:t>
      </w:r>
      <w:r w:rsidRPr="008962DB">
        <w:rPr>
          <w:rFonts w:ascii="Times New Roman" w:eastAsia="Times New Roman" w:hAnsi="Times New Roman" w:cs="Times New Roman"/>
          <w:sz w:val="24"/>
          <w:szCs w:val="24"/>
        </w:rPr>
        <w:fldChar w:fldCharType="begin" w:fldLock="1"/>
      </w:r>
      <w:r w:rsidRPr="008962DB">
        <w:rPr>
          <w:rFonts w:ascii="Times New Roman" w:eastAsia="Times New Roman" w:hAnsi="Times New Roman" w:cs="Times New Roman"/>
          <w:sz w:val="24"/>
          <w:szCs w:val="24"/>
        </w:rPr>
        <w:instrText>ADDIN CSL_CITATION {"citationItems":[{"id":"ITEM-1","itemData":{"DOI":"10.17226/5271","ISBN":"9780309055307","author":[{"dropping-particle":"","family":"Abramson","given":"H Norman","non-dropping-particle":"","parse-names":false,"suffix":""},{"dropping-particle":"","family":"Encarnacao","given":"Jose","non-dropping-particle":"","parse-names":false,"suffix":""},{"dropping-particle":"","family":"Reid","given":"Proctor P","non-dropping-particle":"","parse-names":false,"suffix":""},{"dropping-particle":"","family":"Schmoch","given":"Ulrich","non-dropping-particle":"","parse-names":false,"suffix":""}],"container-title":"Technology Transfer Systems in the United States and Germany","id":"ITEM-1","issued":{"date-parts":[["1997"]]},"title":"Technology Transfer Systems in the United States and Germany","type":"book"},"uris":["http://www.mendeley.com/documents/?uuid=5a7994a3-9601-493a-9def-b63f60b01006"]}],"mendeley":{"formattedCitation":"(Abramson et al., 1997)","plainTextFormattedCitation":"(Abramson et al., 1997)","previouslyFormattedCitation":"(Abramson et al., 1997)"},"properties":{"noteIndex":0},"schema":"https://github.com/citation-style-language/schema/raw/master/csl-citation.json"}</w:instrText>
      </w:r>
      <w:r w:rsidRPr="008962DB">
        <w:rPr>
          <w:rFonts w:ascii="Times New Roman" w:eastAsia="Times New Roman" w:hAnsi="Times New Roman" w:cs="Times New Roman"/>
          <w:sz w:val="24"/>
          <w:szCs w:val="24"/>
        </w:rPr>
        <w:fldChar w:fldCharType="separate"/>
      </w:r>
      <w:r w:rsidRPr="008962DB">
        <w:rPr>
          <w:rFonts w:ascii="Times New Roman" w:eastAsia="Times New Roman" w:hAnsi="Times New Roman" w:cs="Times New Roman"/>
          <w:noProof/>
          <w:sz w:val="24"/>
          <w:szCs w:val="24"/>
        </w:rPr>
        <w:t>(Abramson et al., 1997)</w:t>
      </w:r>
      <w:r w:rsidRPr="008962DB">
        <w:rPr>
          <w:rFonts w:ascii="Times New Roman" w:eastAsia="Times New Roman" w:hAnsi="Times New Roman" w:cs="Times New Roman"/>
          <w:sz w:val="24"/>
          <w:szCs w:val="24"/>
        </w:rPr>
        <w:fldChar w:fldCharType="end"/>
      </w:r>
      <w:r w:rsidRPr="008962DB">
        <w:rPr>
          <w:rFonts w:ascii="Times New Roman" w:eastAsia="Times New Roman" w:hAnsi="Times New Roman" w:cs="Times New Roman"/>
          <w:sz w:val="24"/>
          <w:szCs w:val="24"/>
        </w:rPr>
        <w:t xml:space="preserve">. Además, el método de TRL se ha adoptado en muchos campos, como un instrumento de medición eficiente para la gestión de riesgos del proceso de transferencia tecnológica </w:t>
      </w:r>
      <w:sdt>
        <w:sdtPr>
          <w:rPr>
            <w:rFonts w:ascii="Times New Roman" w:eastAsia="Times New Roman" w:hAnsi="Times New Roman" w:cs="Times New Roman"/>
            <w:sz w:val="24"/>
            <w:szCs w:val="24"/>
          </w:rPr>
          <w:alias w:val="To edit, see citavi.com/edit"/>
          <w:tag w:val="CitaviPlaceholder#22d396bc-3ec4-40ef-b4fc-8ef82210ae0e"/>
          <w:id w:val="705683267"/>
          <w:placeholder>
            <w:docPart w:val="DefaultPlaceholder_-1854013440"/>
          </w:placeholder>
        </w:sdtPr>
        <w:sdtEndPr/>
        <w:sdtContent>
          <w:r w:rsidR="00B016F5">
            <w:rPr>
              <w:rFonts w:ascii="Times New Roman" w:eastAsia="Times New Roman" w:hAnsi="Times New Roman" w:cs="Times New Roman"/>
              <w:sz w:val="24"/>
              <w:szCs w:val="24"/>
            </w:rPr>
            <w:fldChar w:fldCharType="begin"/>
          </w:r>
          <w:r w:rsidR="00197300">
            <w:rPr>
              <w:rFonts w:ascii="Times New Roman" w:eastAsia="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JkOGYzZjExLTcwM2QtNDNhYi04MzEwLWY3OTVmY2Q0MmI4ZiIsIlJhbmdlTGVuZ3RoIjoyNSwiUmVmZXJlbmNlSWQiOiI5Y2FkYjRhNC1mZDhlLTQ1NDQtODYxOC1kZWY4NzVhNmZkNzc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Jc2JuIjoiOTc4MDc2OTUzOTk3MyIsIktleXdvcmRzIjpbXSwiTG9jYXRpb25zIjpbeyIkaWQiOiIxMiIsIiR0eXBlIjoiU3dpc3NBY2FkZW1pYy5DaXRhdmkuTG9jYXRpb24sIFN3aXNzQWNhZGVtaWMuQ2l0YXZpIiwiQWRkcmVzcyI6eyIkaWQiOiIxMyIsIiR0eXBlIjoiU3dpc3NBY2FkZW1pYy5DaXRhdmkuTGlua2VkUmVzb3VyY2UsIFN3aXNzQWNhZGVtaWMuQ2l0YXZpIiwiTGlua2VkUmVzb3VyY2VUeXBlIjo1LCJPcmlnaW5hbFN0cmluZyI6IjEwLjExMDkvSUNFRS4yMDEwLjQ4MSIsIlVyaVN0cmluZyI6Imh0dHBzOi8vZG9pLm9yZy8xMC4xMTA5L0lDRUUuMjAxMC40ODE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}</w:instrText>
          </w:r>
          <w:r w:rsidR="00B016F5">
            <w:rPr>
              <w:rFonts w:ascii="Times New Roman" w:eastAsia="Times New Roman" w:hAnsi="Times New Roman" w:cs="Times New Roman"/>
              <w:sz w:val="24"/>
              <w:szCs w:val="24"/>
            </w:rPr>
            <w:fldChar w:fldCharType="separate"/>
          </w:r>
          <w:hyperlink w:anchor="_CTVL0019cadb4a4fd8e45448618def875a6fd77" w:tooltip="Juan Zhang, Wei Liu y Xiamei Peng (2010). Research on technology transfer readiness level and its application in University Technology Innovation Mana…" w:history="1">
            <w:r w:rsidR="00197300">
              <w:rPr>
                <w:rFonts w:ascii="Times New Roman" w:eastAsia="Times New Roman" w:hAnsi="Times New Roman" w:cs="Times New Roman"/>
                <w:sz w:val="24"/>
                <w:szCs w:val="24"/>
              </w:rPr>
              <w:t>(Juan Zhang et al., 2010)</w:t>
            </w:r>
          </w:hyperlink>
          <w:r w:rsidR="00B016F5">
            <w:rPr>
              <w:rFonts w:ascii="Times New Roman" w:eastAsia="Times New Roman" w:hAnsi="Times New Roman" w:cs="Times New Roman"/>
              <w:sz w:val="24"/>
              <w:szCs w:val="24"/>
            </w:rPr>
            <w:fldChar w:fldCharType="end"/>
          </w:r>
        </w:sdtContent>
      </w:sdt>
      <w:r w:rsidR="00B016F5">
        <w:rPr>
          <w:rFonts w:ascii="Times New Roman" w:eastAsia="Times New Roman" w:hAnsi="Times New Roman" w:cs="Times New Roman"/>
          <w:sz w:val="24"/>
          <w:szCs w:val="24"/>
        </w:rPr>
        <w:t>.</w:t>
      </w:r>
    </w:p>
    <w:p w14:paraId="02D5E49F" w14:textId="0D0628E9" w:rsidR="008962DB" w:rsidRPr="008962DB" w:rsidRDefault="008962DB" w:rsidP="008962DB">
      <w:pPr>
        <w:spacing w:line="480" w:lineRule="auto"/>
        <w:ind w:firstLine="720"/>
        <w:jc w:val="both"/>
        <w:rPr>
          <w:rFonts w:ascii="Times New Roman" w:eastAsia="Times New Roman" w:hAnsi="Times New Roman" w:cs="Times New Roman"/>
          <w:sz w:val="24"/>
          <w:szCs w:val="24"/>
        </w:rPr>
      </w:pPr>
      <w:r w:rsidRPr="008962DB">
        <w:rPr>
          <w:rFonts w:ascii="Times New Roman" w:eastAsia="Times New Roman" w:hAnsi="Times New Roman" w:cs="Times New Roman"/>
          <w:sz w:val="24"/>
          <w:szCs w:val="24"/>
        </w:rPr>
        <w:t>No obstante, a pesar de la necesidad de identificar el nivel de madurez al momento de evaluar una tecnología, para definir en que punto de desarrollo se encuentra y así, determinar la mejor estrategia de TT, se percibe en la literatura que uno de los desafíos clave en la transferencia fluida de tecnología de las instituciones con un fuerte componente de investigación a la industria, es la asimetría tecnológica que ocurre cuando las tecnologías que se transferirán desde dichas instituciones son mucho más avanzadas de lo que los receptores pueden absorber con su investigación y desarrollo existente</w:t>
      </w:r>
      <w:r w:rsidR="002E5719">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alias w:val="To edit, see citavi.com/edit"/>
          <w:tag w:val="CitaviPlaceholder#eb8d1452-b749-45e0-876e-148fdd9fe2f0"/>
          <w:id w:val="-791201631"/>
          <w:placeholder>
            <w:docPart w:val="DefaultPlaceholder_-1854013440"/>
          </w:placeholder>
        </w:sdtPr>
        <w:sdtEndPr/>
        <w:sdtContent>
          <w:r w:rsidR="002E5719">
            <w:rPr>
              <w:rFonts w:ascii="Times New Roman" w:eastAsia="Times New Roman" w:hAnsi="Times New Roman" w:cs="Times New Roman"/>
              <w:sz w:val="24"/>
              <w:szCs w:val="24"/>
            </w:rPr>
            <w:fldChar w:fldCharType="begin"/>
          </w:r>
          <w:r w:rsidR="009E1CE0">
            <w:rPr>
              <w:rFonts w:ascii="Times New Roman" w:eastAsia="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djNzRmZjdjLWY1ZGYtNGQ1OS05ODgzLTBiOTk0YTc3ZjQxMSIsIlJhbmdlTGVuZ3RoIjoyNywiUmVmZXJlbmNlSWQiOiI4MGEzNjE5Ni0wMzFkLTRlYmEtOGViYS1jYWNmNDA2NWFiZW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LZXl3b3JkcyI6W10sIkxvY2F0aW9ucyI6W3siJGlkIjoiMTIiLCIkdHlwZSI6IlN3aXNzQWNhZGVtaWMuQ2l0YXZpLkxvY2F0aW9uLCBTd2lzc0FjYWRlbWljLkNpdGF2aSIsIkFkZHJlc3MiOnsiJGlkIjoiMTMiLCIkdHlwZSI6IlN3aXNzQWNhZGVtaWMuQ2l0YXZpLkxpbmtlZFJlc291cmNlLCBTd2lzc0FjYWRlbWljLkNpdGF2aSIsIkxpbmtlZFJlc291cmNlVHlwZSI6NSwiT3JpZ2luYWxTdHJpbmciOiIxMC4xMTA5L1RFTS4yMDE4LjI4NTg4MTIiLCJVcmlTdHJpbmciOiJodHRwczovL2RvaS5vcmcvMTAuMTEwOS9URU0uMjAxOC4yODU4ODEy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}</w:instrText>
          </w:r>
          <w:r w:rsidR="002E5719">
            <w:rPr>
              <w:rFonts w:ascii="Times New Roman" w:eastAsia="Times New Roman" w:hAnsi="Times New Roman" w:cs="Times New Roman"/>
              <w:sz w:val="24"/>
              <w:szCs w:val="24"/>
            </w:rPr>
            <w:fldChar w:fldCharType="separate"/>
          </w:r>
          <w:hyperlink w:anchor="_CTVL00180a36196031d4eba8ebacacf4065abea" w:tooltip="Hung Yao Liu, Annapoornima M. Subramanian y Chang Chieh Hang (2020). Marrying the Best of Both Worlds: An Integrated Framework for Matching Technology…" w:history="1">
            <w:r w:rsidR="00197300">
              <w:rPr>
                <w:rFonts w:ascii="Times New Roman" w:eastAsia="Times New Roman" w:hAnsi="Times New Roman" w:cs="Times New Roman"/>
                <w:sz w:val="24"/>
                <w:szCs w:val="24"/>
              </w:rPr>
              <w:t>(Hung Yao Liu et al., 2020)</w:t>
            </w:r>
          </w:hyperlink>
          <w:r w:rsidR="002E5719">
            <w:rPr>
              <w:rFonts w:ascii="Times New Roman" w:eastAsia="Times New Roman" w:hAnsi="Times New Roman" w:cs="Times New Roman"/>
              <w:sz w:val="24"/>
              <w:szCs w:val="24"/>
            </w:rPr>
            <w:fldChar w:fldCharType="end"/>
          </w:r>
        </w:sdtContent>
      </w:sdt>
      <w:r w:rsidR="002E5719">
        <w:rPr>
          <w:rFonts w:ascii="Times New Roman" w:eastAsia="Times New Roman" w:hAnsi="Times New Roman" w:cs="Times New Roman"/>
          <w:sz w:val="24"/>
          <w:szCs w:val="24"/>
        </w:rPr>
        <w:t>.</w:t>
      </w:r>
    </w:p>
    <w:p w14:paraId="62B06820" w14:textId="7964E593" w:rsidR="008962DB" w:rsidRPr="008962DB" w:rsidRDefault="008962DB" w:rsidP="008962DB">
      <w:pPr>
        <w:spacing w:line="480" w:lineRule="auto"/>
        <w:ind w:firstLine="720"/>
        <w:jc w:val="both"/>
        <w:rPr>
          <w:rFonts w:ascii="Times New Roman" w:eastAsia="Times New Roman" w:hAnsi="Times New Roman" w:cs="Times New Roman"/>
          <w:sz w:val="24"/>
          <w:szCs w:val="24"/>
        </w:rPr>
      </w:pPr>
      <w:r w:rsidRPr="008962DB">
        <w:rPr>
          <w:rFonts w:ascii="Times New Roman" w:eastAsia="Times New Roman" w:hAnsi="Times New Roman" w:cs="Times New Roman"/>
          <w:sz w:val="24"/>
          <w:szCs w:val="24"/>
        </w:rPr>
        <w:t xml:space="preserve">Es por eso que emergen ciertas herramientas o prácticas colaborativas, dirigidas a reducir las asimetrías de información o actuar como mecanismos de compensación entre los socios, especialmente en economías emergentes, donde existe una brecha bastante grande entre los centros e institutos de I+D y las empresas en términos de Niveles de Preparación Tecnológica. </w:t>
      </w:r>
      <w:r w:rsidRPr="008962DB">
        <w:rPr>
          <w:rFonts w:ascii="Times New Roman" w:eastAsia="Times New Roman" w:hAnsi="Times New Roman" w:cs="Times New Roman"/>
          <w:sz w:val="24"/>
          <w:szCs w:val="24"/>
        </w:rPr>
        <w:fldChar w:fldCharType="begin" w:fldLock="1"/>
      </w:r>
      <w:r w:rsidRPr="008962DB">
        <w:rPr>
          <w:rFonts w:ascii="Times New Roman" w:eastAsia="Times New Roman" w:hAnsi="Times New Roman" w:cs="Times New Roman"/>
          <w:sz w:val="24"/>
          <w:szCs w:val="24"/>
        </w:rPr>
        <w:instrText>ADDIN CSL_CITATION {"citationItems":[{"id":"ITEM-1","itemData":{"DOI":"10.1007/978-1-4614-6102-9_18/TABLES/3","ISBN":"9781461461029","abstract":"The technology transfer process between a public laboratory and a company has been the subject of many publications and has been widely discussed in economic theory. This paper highlights several newly identified asymmetries occurring between the different agents taking part in the process. The theoretical corpus of the article draws upon empirical sources, being based on the recent experience of one of the most dynamic Technology Transfer Offices (TTOs) in France: the case of ONERA (the National Office for Aerospace Studies and Research) and the SMEs. In such a cooperative innovation process, we will show that certain collaborative tools or practices emerge, aimed at reducing information asymmetries or acting as compensation mechanisms for other types of asymmetries between the partners at a microeconomic level; especially in France where there is a gap between the public R&amp;D laboratories and the SMEs in terms of Technology Readiness Levels (TRLs). We finally showcase a new tool, the Demand Readiness Level scale (DRL), which combined with the TRL is providing a powerful tool, the Innovation (process) Readiness Diagram (IRD), dedicated to better manage the Technology Transfer relationship.","author":[{"dropping-particle":"","family":"Paun","given":"Florin","non-dropping-particle":"","parse-names":false,"suffix":""}],"container-title":"Technology Transfer in a Global Economy","id":"ITEM-1","issued":{"date-parts":[["2012","1","1"]]},"page":"353-366","publisher":"Springer US","title":"The demand readiness level scale as new proposed tool to hybridise market pull with technology push approaches in technology transfer practices","type":"article-journal"},"uris":["http://www.mendeley.com/documents/?uuid=aaa04c8b-e9ef-3af5-be0d-f47bbe07337e"]}],"mendeley":{"formattedCitation":"(Paun, 2012)","plainTextFormattedCitation":"(Paun, 2012)","previouslyFormattedCitation":"(Paun, 2012)"},"properties":{"noteIndex":0},"schema":"https://github.com/citation-style-language/schema/raw/master/csl-citation.json"}</w:instrText>
      </w:r>
      <w:r w:rsidRPr="008962DB">
        <w:rPr>
          <w:rFonts w:ascii="Times New Roman" w:eastAsia="Times New Roman" w:hAnsi="Times New Roman" w:cs="Times New Roman"/>
          <w:sz w:val="24"/>
          <w:szCs w:val="24"/>
        </w:rPr>
        <w:fldChar w:fldCharType="separate"/>
      </w:r>
      <w:r w:rsidRPr="008962DB">
        <w:rPr>
          <w:rFonts w:ascii="Times New Roman" w:eastAsia="Times New Roman" w:hAnsi="Times New Roman" w:cs="Times New Roman"/>
          <w:noProof/>
          <w:sz w:val="24"/>
          <w:szCs w:val="24"/>
        </w:rPr>
        <w:t>(Paun, 2012)</w:t>
      </w:r>
      <w:r w:rsidRPr="008962DB">
        <w:rPr>
          <w:rFonts w:ascii="Times New Roman" w:eastAsia="Times New Roman" w:hAnsi="Times New Roman" w:cs="Times New Roman"/>
          <w:sz w:val="24"/>
          <w:szCs w:val="24"/>
        </w:rPr>
        <w:fldChar w:fldCharType="end"/>
      </w:r>
      <w:r w:rsidR="00D768DF">
        <w:rPr>
          <w:rFonts w:ascii="Times New Roman" w:eastAsia="Times New Roman" w:hAnsi="Times New Roman" w:cs="Times New Roman"/>
          <w:sz w:val="24"/>
          <w:szCs w:val="24"/>
        </w:rPr>
        <w:t>.</w:t>
      </w:r>
    </w:p>
    <w:p w14:paraId="24976E98" w14:textId="572A0D7E" w:rsidR="008962DB" w:rsidRPr="008962DB" w:rsidRDefault="008962DB" w:rsidP="008962DB">
      <w:pPr>
        <w:spacing w:line="480" w:lineRule="auto"/>
        <w:ind w:firstLine="720"/>
        <w:jc w:val="both"/>
        <w:rPr>
          <w:rFonts w:ascii="Times New Roman" w:eastAsia="Times New Roman" w:hAnsi="Times New Roman" w:cs="Times New Roman"/>
          <w:sz w:val="24"/>
          <w:szCs w:val="24"/>
        </w:rPr>
      </w:pPr>
      <w:r w:rsidRPr="008962DB">
        <w:rPr>
          <w:rFonts w:ascii="Times New Roman" w:eastAsia="Times New Roman" w:hAnsi="Times New Roman" w:cs="Times New Roman"/>
          <w:b/>
          <w:bCs/>
          <w:i/>
          <w:iCs/>
          <w:sz w:val="24"/>
          <w:szCs w:val="24"/>
        </w:rPr>
        <w:t xml:space="preserve">Entorno de la demanda.  </w:t>
      </w:r>
      <w:r w:rsidRPr="008962DB">
        <w:rPr>
          <w:rFonts w:ascii="Times New Roman" w:eastAsia="Times New Roman" w:hAnsi="Times New Roman" w:cs="Times New Roman"/>
          <w:sz w:val="24"/>
          <w:szCs w:val="24"/>
        </w:rPr>
        <w:t xml:space="preserve">La especificidad de los mercados, como en el caso del sector salud, se afirma muy rápidamente porque estos sectores, que generalmente son 'sistemas complejos', requieren mucho tiempo para el desarrollo y la introducción de un nuevo producto en el mercado. Incluso grandes organizaciones, con fuertes capacidades investigativas y de desarrollo, más allá de </w:t>
      </w:r>
      <w:r w:rsidRPr="008962DB">
        <w:rPr>
          <w:rFonts w:ascii="Times New Roman" w:eastAsia="Times New Roman" w:hAnsi="Times New Roman" w:cs="Times New Roman"/>
          <w:sz w:val="24"/>
          <w:szCs w:val="24"/>
        </w:rPr>
        <w:lastRenderedPageBreak/>
        <w:t xml:space="preserve">cierto límite, necesitan apoyo institucional, no a nivel nacional, si no a nivel internacional, para desarrollar nuevas tecnologías y transferirlas </w:t>
      </w:r>
      <w:sdt>
        <w:sdtPr>
          <w:rPr>
            <w:rFonts w:ascii="Times New Roman" w:eastAsia="Times New Roman" w:hAnsi="Times New Roman" w:cs="Times New Roman"/>
            <w:sz w:val="24"/>
            <w:szCs w:val="24"/>
          </w:rPr>
          <w:alias w:val="To edit, see citavi.com/edit"/>
          <w:tag w:val="CitaviPlaceholder#dd7893fe-2871-46c8-8f86-6ce7eec4ca5f"/>
          <w:id w:val="1063459527"/>
          <w:placeholder>
            <w:docPart w:val="DefaultPlaceholder_-1854013440"/>
          </w:placeholder>
        </w:sdtPr>
        <w:sdtEndPr/>
        <w:sdtContent>
          <w:r w:rsidR="00351CC8">
            <w:rPr>
              <w:rFonts w:ascii="Times New Roman" w:eastAsia="Times New Roman" w:hAnsi="Times New Roman" w:cs="Times New Roman"/>
              <w:sz w:val="24"/>
              <w:szCs w:val="24"/>
            </w:rPr>
            <w:fldChar w:fldCharType="begin"/>
          </w:r>
          <w:r w:rsidR="009E1CE0">
            <w:rPr>
              <w:rFonts w:ascii="Times New Roman" w:eastAsia="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ZlNDk0MmY4LWE4ZWItNDU1OC04OTRlLWFkZTA5N2UxNmFhZSIsIlJhbmdlTGVuZ3RoIjoxMiwiUmVmZXJlbmNlSWQiOiI1ZWIxMzQxNy0zYzNkLTRlNzYtOTUzNC1jNjYxZWMzNGQzMGI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}</w:instrText>
          </w:r>
          <w:r w:rsidR="00351CC8">
            <w:rPr>
              <w:rFonts w:ascii="Times New Roman" w:eastAsia="Times New Roman" w:hAnsi="Times New Roman" w:cs="Times New Roman"/>
              <w:sz w:val="24"/>
              <w:szCs w:val="24"/>
            </w:rPr>
            <w:fldChar w:fldCharType="separate"/>
          </w:r>
          <w:hyperlink w:anchor="_CTVL0015eb134173c3d4e769534c661ec34d30b" w:tooltip="Paun, F. (2012). Chapter 18: The Demand Readiness Level Scale as New Proposed Tool to Hybridise Market Pull with Technology Push Approaches in Technol…" w:history="1">
            <w:r w:rsidR="00197300">
              <w:rPr>
                <w:rFonts w:ascii="Times New Roman" w:eastAsia="Times New Roman" w:hAnsi="Times New Roman" w:cs="Times New Roman"/>
                <w:sz w:val="24"/>
                <w:szCs w:val="24"/>
              </w:rPr>
              <w:t>(Paun, 2012)</w:t>
            </w:r>
          </w:hyperlink>
          <w:r w:rsidR="00351CC8">
            <w:rPr>
              <w:rFonts w:ascii="Times New Roman" w:eastAsia="Times New Roman" w:hAnsi="Times New Roman" w:cs="Times New Roman"/>
              <w:sz w:val="24"/>
              <w:szCs w:val="24"/>
            </w:rPr>
            <w:fldChar w:fldCharType="end"/>
          </w:r>
        </w:sdtContent>
      </w:sdt>
      <w:r w:rsidR="00351CC8">
        <w:rPr>
          <w:rFonts w:ascii="Times New Roman" w:eastAsia="Times New Roman" w:hAnsi="Times New Roman" w:cs="Times New Roman"/>
          <w:sz w:val="24"/>
          <w:szCs w:val="24"/>
        </w:rPr>
        <w:t xml:space="preserve">, </w:t>
      </w:r>
      <w:r w:rsidRPr="008962DB">
        <w:rPr>
          <w:rFonts w:ascii="Times New Roman" w:eastAsia="Times New Roman" w:hAnsi="Times New Roman" w:cs="Times New Roman"/>
          <w:sz w:val="24"/>
          <w:szCs w:val="24"/>
        </w:rPr>
        <w:t xml:space="preserve">un ejemplo de ello fue el caso del desarrollo de vacunas para la emergencia sanitaria provocada por la COVID-19 y todo el proceso de formalización de acuerdos de transferencia tecnológica entre centros de investigación y desarrollo y empresas farmacéuticas que fueron necesarios para su puesta en el mercado, difusión y distribución </w:t>
      </w:r>
      <w:r w:rsidRPr="008962DB">
        <w:rPr>
          <w:rFonts w:ascii="Times New Roman" w:eastAsia="Times New Roman" w:hAnsi="Times New Roman" w:cs="Times New Roman"/>
          <w:sz w:val="24"/>
          <w:szCs w:val="24"/>
        </w:rPr>
        <w:fldChar w:fldCharType="begin" w:fldLock="1"/>
      </w:r>
      <w:r w:rsidRPr="008962DB">
        <w:rPr>
          <w:rFonts w:ascii="Times New Roman" w:eastAsia="Times New Roman" w:hAnsi="Times New Roman" w:cs="Times New Roman"/>
          <w:sz w:val="24"/>
          <w:szCs w:val="24"/>
        </w:rPr>
        <w:instrText>ADDIN CSL_CITATION {"citationItems":[{"id":"ITEM-1","itemData":{"author":[{"dropping-particle":"","family":"Carvajalino","given":"Leonardo","non-dropping-particle":"","parse-names":false,"suffix":""}],"container-title":"El espectador","id":"ITEM-1","issued":{"date-parts":[["2020"]]},"title":"Los retos del sistema de salud de Colombia frente al COVID-19","type":"webpage"},"uris":["http://www.mendeley.com/documents/?uuid=d48add05-55ca-423a-9069-afc91e05fa3d"]}],"mendeley":{"formattedCitation":"(Carvajalino, 2020)","plainTextFormattedCitation":"(Carvajalino, 2020)","previouslyFormattedCitation":"(Carvajalino, 2020)"},"properties":{"noteIndex":0},"schema":"https://github.com/citation-style-language/schema/raw/master/csl-citation.json"}</w:instrText>
      </w:r>
      <w:r w:rsidRPr="008962DB">
        <w:rPr>
          <w:rFonts w:ascii="Times New Roman" w:eastAsia="Times New Roman" w:hAnsi="Times New Roman" w:cs="Times New Roman"/>
          <w:sz w:val="24"/>
          <w:szCs w:val="24"/>
        </w:rPr>
        <w:fldChar w:fldCharType="separate"/>
      </w:r>
      <w:r w:rsidRPr="008962DB">
        <w:rPr>
          <w:rFonts w:ascii="Times New Roman" w:eastAsia="Times New Roman" w:hAnsi="Times New Roman" w:cs="Times New Roman"/>
          <w:noProof/>
          <w:sz w:val="24"/>
          <w:szCs w:val="24"/>
        </w:rPr>
        <w:t>(Carvajalino, 2020)</w:t>
      </w:r>
      <w:r w:rsidRPr="008962DB">
        <w:rPr>
          <w:rFonts w:ascii="Times New Roman" w:eastAsia="Times New Roman" w:hAnsi="Times New Roman" w:cs="Times New Roman"/>
          <w:sz w:val="24"/>
          <w:szCs w:val="24"/>
        </w:rPr>
        <w:fldChar w:fldCharType="end"/>
      </w:r>
      <w:r w:rsidRPr="008962DB">
        <w:rPr>
          <w:rFonts w:ascii="Times New Roman" w:eastAsia="Times New Roman" w:hAnsi="Times New Roman" w:cs="Times New Roman"/>
          <w:sz w:val="24"/>
          <w:szCs w:val="24"/>
        </w:rPr>
        <w:t>.</w:t>
      </w:r>
    </w:p>
    <w:p w14:paraId="607A74F7" w14:textId="77777777" w:rsidR="008962DB" w:rsidRPr="008962DB" w:rsidRDefault="008962DB" w:rsidP="008962DB">
      <w:pPr>
        <w:spacing w:line="480" w:lineRule="auto"/>
        <w:ind w:firstLine="720"/>
        <w:jc w:val="both"/>
        <w:rPr>
          <w:rFonts w:ascii="Times New Roman" w:eastAsia="Times New Roman" w:hAnsi="Times New Roman" w:cs="Times New Roman"/>
          <w:sz w:val="24"/>
          <w:szCs w:val="24"/>
        </w:rPr>
      </w:pPr>
      <w:r w:rsidRPr="008962DB">
        <w:rPr>
          <w:rFonts w:ascii="Times New Roman" w:eastAsia="Times New Roman" w:hAnsi="Times New Roman" w:cs="Times New Roman"/>
          <w:sz w:val="24"/>
          <w:szCs w:val="24"/>
        </w:rPr>
        <w:t xml:space="preserve">Además de los factores relacionados con la industria, diferentes estudios indican la influencia de factores relacionados con impactos ambientales, económicos y sociales, que pueden afectar la transferencia de tecnología </w:t>
      </w:r>
      <w:r w:rsidRPr="008962DB">
        <w:rPr>
          <w:rFonts w:ascii="Times New Roman" w:eastAsia="Times New Roman" w:hAnsi="Times New Roman" w:cs="Times New Roman"/>
          <w:sz w:val="24"/>
          <w:szCs w:val="24"/>
        </w:rPr>
        <w:fldChar w:fldCharType="begin" w:fldLock="1"/>
      </w:r>
      <w:r w:rsidRPr="008962DB">
        <w:rPr>
          <w:rFonts w:ascii="Times New Roman" w:eastAsia="Times New Roman" w:hAnsi="Times New Roman" w:cs="Times New Roman"/>
          <w:sz w:val="24"/>
          <w:szCs w:val="24"/>
        </w:rPr>
        <w:instrText>ADDIN CSL_CITATION {"citationItems":[{"id":"ITEM-1","itemData":{"DOI":"10.1007/S11192-021-03969-0/TABLES/2","ISSN":"15882861","abstract":"Until the year 2030, the objectives and targets proposed in the Agenda for Sustainable Development Goals need to be achieved, aiming to minimize various global problems. Bearing in mind this urgency, it is necessary that studies to help achieve these objectives be carried out. Therefore, the purpose of this work was to carry out a Systematic Literature Review of the technology transfer models existing in the literature, since the process can assist in promoting sustainable development, as well as possible barriers and opportunities for sustainable technology transfer processes. The results show that, despite the diversity of models available in the literature, there is an absence of a model that considers the sphere of sustainable development, and the possible barriers and opportunities in the formulation of its stages. Based on this, a conceptual Barriers and Opportunities-based model focused on sustainable development was proposed, aiming to fill the scientific gap found, thus contributing to the Sustainable Development Goals. The model has four macro steps: Plan; Enable; Implement and Evaluate, which range from identifying the technological need to documentation, registration, and feedback on implementation. As a result, the model can anticipate and address possible barriers, making use of opportunities as facilitators. Also, this research contributes to the governmental sphere, since with the use of the model it is expected that it can assist in the fulfillment of the Sustainable Development Goals.","author":[{"dropping-particle":"","family":"Corsi","given":"Alana","non-dropping-particle":"","parse-names":false,"suffix":""},{"dropping-particle":"","family":"Souza","given":"Fabiane Florencio","non-dropping-particle":"de","parse-names":false,"suffix":""},{"dropping-particle":"","family":"Pagani","given":"Regina Negri","non-dropping-particle":"","parse-names":false,"suffix":""},{"dropping-particle":"","family":"Kovaleski","given":"João Luiz","non-dropping-particle":"","parse-names":false,"suffix":""}],"container-title":"Scientometrics","id":"ITEM-1","issue":"6","issued":{"date-parts":[["2021","6","1"]]},"page":"5081-5112","publisher":"Springer Science and Business Media B.V.","title":"Technology transfer oriented to sustainable development: proposal of a theoretical model based on barriers and opportunities","type":"article-journal","volume":"126"},"uris":["http://www.mendeley.com/documents/?uuid=286e7b78-13c7-3f5a-91c3-8418d3946f70"]}],"mendeley":{"formattedCitation":"(Corsi et al., 2021)","plainTextFormattedCitation":"(Corsi et al., 2021)","previouslyFormattedCitation":"(Corsi et al., 2021)"},"properties":{"noteIndex":0},"schema":"https://github.com/citation-style-language/schema/raw/master/csl-citation.json"}</w:instrText>
      </w:r>
      <w:r w:rsidRPr="008962DB">
        <w:rPr>
          <w:rFonts w:ascii="Times New Roman" w:eastAsia="Times New Roman" w:hAnsi="Times New Roman" w:cs="Times New Roman"/>
          <w:sz w:val="24"/>
          <w:szCs w:val="24"/>
        </w:rPr>
        <w:fldChar w:fldCharType="separate"/>
      </w:r>
      <w:r w:rsidRPr="008962DB">
        <w:rPr>
          <w:rFonts w:ascii="Times New Roman" w:eastAsia="Times New Roman" w:hAnsi="Times New Roman" w:cs="Times New Roman"/>
          <w:noProof/>
          <w:sz w:val="24"/>
          <w:szCs w:val="24"/>
        </w:rPr>
        <w:t>(Corsi et al., 2021)</w:t>
      </w:r>
      <w:r w:rsidRPr="008962DB">
        <w:rPr>
          <w:rFonts w:ascii="Times New Roman" w:eastAsia="Times New Roman" w:hAnsi="Times New Roman" w:cs="Times New Roman"/>
          <w:sz w:val="24"/>
          <w:szCs w:val="24"/>
        </w:rPr>
        <w:fldChar w:fldCharType="end"/>
      </w:r>
      <w:r w:rsidRPr="008962DB">
        <w:rPr>
          <w:rFonts w:ascii="Times New Roman" w:eastAsia="Times New Roman" w:hAnsi="Times New Roman" w:cs="Times New Roman"/>
          <w:sz w:val="24"/>
          <w:szCs w:val="24"/>
        </w:rPr>
        <w:t xml:space="preserve"> entre ellos, los más recurrentes están relacionados con las políticas y regulaciones que favorecen e incentivan la cooperación y la transferencia, como las relaciones políticas entre los países, la política nacional de CTI, las políticas de transferencia y la Ley de Propiedad Intelectual </w:t>
      </w:r>
      <w:r w:rsidRPr="008962DB">
        <w:rPr>
          <w:rFonts w:ascii="Times New Roman" w:eastAsia="Times New Roman" w:hAnsi="Times New Roman" w:cs="Times New Roman"/>
          <w:sz w:val="24"/>
          <w:szCs w:val="24"/>
        </w:rPr>
        <w:fldChar w:fldCharType="begin" w:fldLock="1"/>
      </w:r>
      <w:r w:rsidRPr="008962DB">
        <w:rPr>
          <w:rFonts w:ascii="Times New Roman" w:eastAsia="Times New Roman" w:hAnsi="Times New Roman" w:cs="Times New Roman"/>
          <w:sz w:val="24"/>
          <w:szCs w:val="24"/>
        </w:rPr>
        <w:instrText>ADDIN CSL_CITATION {"citationItems":[{"id":"ITEM-1","itemData":{"DOI":"10.17711/SM.0185-3325.2016.030","ISSN":"01853325","abstract":"Introduction The transfer and translation of programs with scientific evidence to clinical scenarios is often limited by a number of barriers for their implementation, making it difficult to provide benefits for a society that requires effective services. Objective The aim of this study was to identify the barriers for the adoption of brief intervention programs for the treatment of alcohol and other drugs abuse at addiction treatment centers in Mexico. Methods This is a qualitative study with a purposive sample consisting of 16 experts on transfer processes. Focused interviews were conducted and transcribed, and the data were subjected to content analysis. Results The results reported several barriers for the adoption of programs in clinical scenarios. These include the following: bureaucratic procedures and institutional policies, lack of knowledge of the theoretical bases of the program and the diversity of users demanding the service. Discussion and conclusion The study discusses the fact that the technology transfer process requires a deliberate, combined effort to ensure the implementation of programs in clinical scenarios. The barriers identified by the actors involved in the process should be considered in the development of strategies to disseminate brief intervention programs.","author":[{"dropping-particle":"","family":"Martínez Martínez","given":"Kalina Isela","non-dropping-particle":"","parse-names":false,"suffix":""},{"dropping-particle":"","family":"Yolanda Pacheco Trejo","given":"Ayme","non-dropping-particle":"","parse-names":false,"suffix":""},{"dropping-particle":"","family":"San Vicente","given":"Leticia Echeverría","non-dropping-particle":"","parse-names":false,"suffix":""},{"dropping-particle":"","family":"Medina-Mora","given":"María Elena","non-dropping-particle":"","parse-names":false,"suffix":""}],"container-title":"Salud Mental","id":"ITEM-1","issue":"5","issued":{"date-parts":[["2016"]]},"page":"257-265","title":"Barreras en la transferencia de la tecnología: Un estudio cualitativo de las intervenciones breves y los centros de atención a las adicciones","type":"article-journal","volume":"39"},"uris":["http://www.mendeley.com/documents/?uuid=ea3e89c2-6d80-4768-b1b1-4ce8c06ec3bf"]},{"id":"ITEM-2","itemData":{"abstract":"Los actores del Sistema Nacional de Ciencia, Tecnolog</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a e Innovaci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 xml:space="preserve">n en Colombia, particularmente, aquellos vinculados a las </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reas de eficiencia y gesti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energ</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tica, requieren de nuevas propuestas que faciliten su alineaci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y articulaci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de tal modo que se pueda estimular la sinergia e impulsar su desarrollo. Como respuesta a esta necesidad, y con el prop</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sito de consolidar a la Red Colombiana de Conocimiento en Eficiencia Energ</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tica - RECIEE, este proyecto plantea una investigaci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mixta con dise</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o dexplos (cualitativa en una primera etapa y cuantitativa en la segunda). El estudio cualitativo consta de dos partes: la primera, busca identificar la evoluci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hist</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rica y acciones m</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s representativas de los actores institucionales vinculados al mismo sector en pa</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ses que son un referente internacional, como Brasil, Cuba y M</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xico, con el fin de identificar las din</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micas y establecer los vac</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 xml:space="preserve">os existentes a nivel local. La segunda, busca identificar los factores determinantes del </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xito de la transferencia de conocimiento, y tanto la literatura como las entrevistas con empresarios beneficiarios del programa, permiten plantear una hip</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tesis inicial, que relaciona los resultados con la cultura organizacional. El diagn</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stico se logra con la aplicaci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del instrumento de cultura dise</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ado por Denison &amp; Neale (1994), traducido al espa</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ol y adaptado por Bonavia, Prado Gasco, &amp; Barber</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 xml:space="preserve"> Tom</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s (2009) para su aplicaci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a grupos de investigaci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que luego puede ser comparado directamente con los resultados obtenidos por G</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mez Rold</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&amp; Ricardo Bray (2012) para empresas en Bogot</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 dado que utilizan el mismo instrumento.\\nLos resultados del estudio muestran que existen diferencias culturales en aspectos que son valorados como cr</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ticos por los empresarios, sin embargo, la cuantificaci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de los rasgos secundarios, que influyen directamente en el desempe</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 xml:space="preserve">o, muestran que ambos actores tienen culturas cercanas, caracterizadas por la flexibilidad - foco interno, en el caso de RECIEE, y flexibilidad - foco externo, en el caso de las empresas manufactureras evaluadas en 2009. En la </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ltima secci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se integran todos los hallazgos y se propone un modelo de gesti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 xml:space="preserve">n que busca consolidar la triada AIG en el </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rea de gesti</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n y eficiencia energ</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tica en el pa</w:instrText>
      </w:r>
      <w:r w:rsidRPr="008962DB">
        <w:rPr>
          <w:rFonts w:ascii="Tahoma" w:eastAsia="Times New Roman" w:hAnsi="Tahoma" w:cs="Tahoma"/>
          <w:sz w:val="24"/>
          <w:szCs w:val="24"/>
        </w:rPr>
        <w:instrText>�</w:instrText>
      </w:r>
      <w:r w:rsidRPr="008962DB">
        <w:rPr>
          <w:rFonts w:ascii="Times New Roman" w:eastAsia="Times New Roman" w:hAnsi="Times New Roman" w:cs="Times New Roman"/>
          <w:sz w:val="24"/>
          <w:szCs w:val="24"/>
        </w:rPr>
        <w:instrText>s.","author":[{"dropping-particle":"","family":"Rincón","given":"Claudia","non-dropping-particle":"","parse-names":false,"suffix":""}],"id":"ITEM-2","issued":{"date-parts":[["2016"]]},"page":"212","title":"Diseño de un modelo de gestión y transferencia de conocimiento para la consolidación de una red Academia – Industria – Gobierno, aplicada a la Gestión Integral de la Energía, en el marco del “PROGRAMA PARA LA CONSOLIDACIÓN DE LA RED DE CONOCIMIENTO EN EFI","type":"article-journal"},"uris":["http://www.mendeley.com/documents/?uuid=dea070f4-48b8-48af-9756-200a786b3cb6"]},{"id":"ITEM-3","itemData":{"ISSN":"8449071704","author":[{"dropping-particle":"","family":"Medarde","given":"Barragan Elena","non-dropping-particle":"","parse-names":false,"suffix":""}],"id":"ITEM-3","issued":{"date-parts":[["2017"]]},"page":"28-30","title":"Factores clave para el diseño e implementación de los sistemas de gestión de la innovación en las organizaciones sanitarias","type":"article-journal"},"uris":["http://www.mendeley.com/documents/?uuid=d3273963-ee54-4b60-a63c-19771980545d"]}],"mendeley":{"formattedCitation":"(Martínez Martínez et al., 2016; Medarde, 2017; Rincón, 2016)","plainTextFormattedCitation":"(Martínez Martínez et al., 2016; Medarde, 2017; Rincón, 2016)","previouslyFormattedCitation":"(Martínez Martínez et al., 2016; Medarde, 2017; Rincón, 2016)"},"properties":{"noteIndex":0},"schema":"https://github.com/citation-style-language/schema/raw/master/csl-citation.json"}</w:instrText>
      </w:r>
      <w:r w:rsidRPr="008962DB">
        <w:rPr>
          <w:rFonts w:ascii="Times New Roman" w:eastAsia="Times New Roman" w:hAnsi="Times New Roman" w:cs="Times New Roman"/>
          <w:sz w:val="24"/>
          <w:szCs w:val="24"/>
        </w:rPr>
        <w:fldChar w:fldCharType="separate"/>
      </w:r>
      <w:r w:rsidRPr="008962DB">
        <w:rPr>
          <w:rFonts w:ascii="Times New Roman" w:eastAsia="Times New Roman" w:hAnsi="Times New Roman" w:cs="Times New Roman"/>
          <w:noProof/>
          <w:sz w:val="24"/>
          <w:szCs w:val="24"/>
        </w:rPr>
        <w:t>(Martínez Martínez et al., 2016; Medarde, 2017; Rincón, 2016)</w:t>
      </w:r>
      <w:r w:rsidRPr="008962DB">
        <w:rPr>
          <w:rFonts w:ascii="Times New Roman" w:eastAsia="Times New Roman" w:hAnsi="Times New Roman" w:cs="Times New Roman"/>
          <w:sz w:val="24"/>
          <w:szCs w:val="24"/>
        </w:rPr>
        <w:fldChar w:fldCharType="end"/>
      </w:r>
      <w:r w:rsidRPr="008962DB">
        <w:rPr>
          <w:rFonts w:ascii="Times New Roman" w:eastAsia="Times New Roman" w:hAnsi="Times New Roman" w:cs="Times New Roman"/>
          <w:sz w:val="24"/>
          <w:szCs w:val="24"/>
        </w:rPr>
        <w:t>.</w:t>
      </w:r>
    </w:p>
    <w:p w14:paraId="54E606F7" w14:textId="53B53B61" w:rsidR="008962DB" w:rsidRPr="008962DB" w:rsidRDefault="008962DB" w:rsidP="008962DB">
      <w:pPr>
        <w:spacing w:line="480" w:lineRule="auto"/>
        <w:ind w:firstLine="709"/>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 xml:space="preserve">Es por eso que, diferentes estudios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{"citationItems":[{"id":"ITEM-1","itemData":{"DOI":"10.3390/ADMSCI8020019","ISSN":"2076-3387","abstract":"Over the years, universities have been considered as research centers that seek to collaborate with industries to create innovative products. This link has generated many concepts, among them being the concept of technology transfer. The objective of this work is to present a systematic review on the technology transfer generated in university-industry collaboration (UIC). Based on a review of 66 papers, the results presented in this article include the technology transfer (TT) models presented in the literature, a description of the common elements in a transfer process, and a description of the interaction between the elements involved, through the presentation of a conceptual model of technology transfer in the context of collaboration between the university and the industry.","author":[{"dropping-particle":"","family":"Arenas","given":"Juan Jesus","non-dropping-particle":"","parse-names":false,"suffix":""},{"dropping-particle":"","family":"González","given":"Domingo","non-dropping-particle":"","parse-names":false,"suffix":""}],"container-title":"Administrative Sciences 2018, Vol. 8, Page 19","id":"ITEM-1","issue":"2","issued":{"date-parts":[["2018","6","6"]]},"page":"19","publisher":"Multidisciplinary Digital Publishing Institute","title":"Technology Transfer Models and Elements in the University-Industry Collaboration","type":"article-journal","volume":"8"},"uris":["http://www.mendeley.com/documents/?uuid=1d304ddb-53af-3baf-9d35-09275a9dc0dd"]},{"id":"ITEM-2","itemData":{"DOI":"10.1016/S0048-7333(99)00093-1","ISSN":"0048-7333","abstract":"My purpose is to review, synthesize and criticize the voluminous, multidisciplinary literature on technology transfer. To reduce the literature to manageable proportions, I focus chiefly (not exclusively) on recent literature on domestic technology transfer from universities and government laboratories. I begin by examining a set of fundamental conceptual issues, especially the ways in which the analytical ambiguities surrounding technology transfer concepts affect research and theory. My literature review follows and I emphasize technology transfer's impact and effectiveness. I employ a \"Contingent Effectiveness Model of Technology Transfer\" to organize the literature. As the model's name implies, it assumes that technology effectiveness can take a variety of forms. In addition to examining the more traditional effectiveness criteria- those rooted in market impacts- the model considers a number of alternative effectiveness criteria, including political effectiveness, capacity-building.","author":[{"dropping-particle":"","family":"Bozeman","given":"Barry","non-dropping-particle":"","parse-names":false,"suffix":""}],"container-title":"Research Policy","id":"ITEM-2","issue":"4-5","issued":{"date-parts":[["2000","4","1"]]},"page":"627-655","publisher":"North-Holland","title":"Technology transfer and public policy: a review of research and theory","type":"article-journal","volume":"29"},"uris":["http://www.mendeley.com/documents/?uuid=ef959c88-cf0d-3d97-beb9-81252ca050bb"]},{"id":"ITEM-3","itemData":{"DOI":"10.1016/J.RESPOL.2012.09.007","ISSN":"00487333","abstract":"A considerable body of work highlights the relevance of collaborative research, contract research, consulting and informal relationships for university-industry knowledge transfer. We present a systematic review of research on academic scientists' involvement in these activities to which we refer as 'academic engagement'. Apart from extracting findings that are generalisable across studies, we ask how academic engagement differs from commercialisation, defined as intellectual property creation and academic entrepreneurship. We identify the individual, organisational and institutional antecedents and consequences of academic engagement, and then compare these findings with the antecedents and consequences of commercialisation. Apart from being more widely practiced, academic engagement is distinct from commercialisation in that it is closely aligned with traditional academic research activities, and pursued by academics to access resources supporting their research agendas. We conclude by identifying future research needs, opportunities for methodological improvement and policy interventions. © 2012 Elsevier B.V.","author":[{"dropping-particle":"","family":"Perkmann","given":"Markus","non-dropping-particle":"","parse-names":false,"suffix":""},{"dropping-particle":"","family":"Tartari","given":"Valentina","non-dropping-particle":"","parse-names":false,"suffix":""},{"dropping-particle":"","family":"McKelvey","given":"Maureen","non-dropping-particle":"","parse-names":false,"suffix":""},{"dropping-particle":"","family":"Autio","given":"Erkko","non-dropping-particle":"","parse-names":false,"suffix":""},{"dropping-particle":"","family":"Broström","given":"Anders","non-dropping-particle":"","parse-names":false,"suffix":""},{"dropping-particle":"","family":"D'Este","given":"Pablo","non-dropping-particle":"","parse-names":false,"suffix":""},{"dropping-particle":"","family":"Fini","given":"Riccardo","non-dropping-particle":"","parse-names":false,"suffix":""},{"dropping-particle":"","family":"Geuna","given":"Aldo","non-dropping-particle":"","parse-names":false,"suffix":""},{"dropping-particle":"","family":"Grimaldi","given":"Rosa","non-dropping-particle":"","parse-names":false,"suffix":""},{"dropping-particle":"","family":"Hughes","given":"Alan","non-dropping-particle":"","parse-names":false,"suffix":""},{"dropping-particle":"","family":"Krabel","given":"Stefan","non-dropping-particle":"","parse-names":false,"suffix":""},{"dropping-particle":"","family":"Kitson","given":"Michael","non-dropping-particle":"","parse-names":false,"suffix":""},{"dropping-particle":"","family":"Llerena","given":"Patrick","non-dropping-particle":"","parse-names":false,"suffix":""},{"dropping-particle":"","family":"Lissoni","given":"Franceso","non-dropping-particle":"","parse-names":false,"suffix":""},{"dropping-particle":"","family":"Salter","given":"Ammon","non-dropping-particle":"","parse-names":false,"suffix":""},{"dropping-particle":"","family":"Sobrero","given":"Maurizio","non-dropping-particle":"","parse-names":false,"suffix":""}],"container-title":"Research Policy","id":"ITEM-3","issue":"2","issued":{"date-parts":[["2013"]]},"page":"423-442","publisher":"Elsevier B.V.","title":"Academic engagement and commercialisation: A review of the literature on university-industry relations","type":"article-journal","volume":"42"},"uris":["http://www.mendeley.com/documents/?uuid=5fa5fed0-b197-3f4c-82bc-7fa022bcfef2"]},{"id":"ITEM-4","itemData":{"DOI":"10.1016/S0883-9026(02)00114-3","ISSN":"08839026","abstract":"Universities are seen as a source of technology development that is useful to entrepreneurial activity. As a result, policy makers often consider mechanisms to stimulate technology commercialization at research universities as a way to encourage entrepreneurial activity in a region. However, the transfer of technology from universities to the private sector requires the exploitation of markets for knowledge, which are fraught with difficulty [Arrow, K., 1962. Economic welfare and the allocation of resources for inventions. In: Nelson, R. (Ed.), The Rate and Direction of Inventive Activity. Princeton, NJ: Princeton Univ. Press.]. This article examines the effect of one U.S. public policy initiative-the Bayh-Dole Act in the United States-on one aspect of technology commercialization-university patenting. Specifically, the article explores the university share of patents from 1969 through 1996 across 117 lines of business, and shows that the effectiveness of licensing in a line of business is significantly correlated with university share of patents in the post-Bayh-Dole period, but not in the pre-Bayh-Dole period. These results suggest that the Bayh-Dole Act provided incentives for universities to increase patenting in those fields in which licensing is an effective mechanism for acquiring new technical knowledge. The paper discusses the implications of this shift in patenting for research and public policy. © 2002 Elsevier Science Inc. All rights reserved.","author":[{"dropping-particle":"","family":"Shane","given":"Scott","non-dropping-particle":"","parse-names":false,"suffix":""}],"container-title":"Journal of Business Venturing","id":"ITEM-4","issue":"1","issued":{"date-parts":[["2004","1"]]},"page":"127-151","title":"Encouraging university entrepreneurship? The effect of the Bayh-Dole Act on university patenting in the United States","type":"article-journal","volume":"19"},"uris":["http://www.mendeley.com/documents/?uuid=fe8a34a7-ec72-37bd-a134-5ef4744d5e61"]}],"mendeley":{"formattedCitation":"(Arenas &amp; González, 2018; Bozeman, 2000; Perkmann et al., 2013; Shane, 2004)","plainTextFormattedCitation":"(Arenas &amp; González, 2018; Bozeman, 2000; Perkmann et al., 2013; Shane, 2004)","previouslyFormattedCitation":"(Arenas &amp; González, 2018; Bozeman, 2000; Perkmann et al., 2013; Shane, 2004)"},"properties":{"noteIndex":0},"schema":"https://github.com/citation-style-language/schema/raw/master/csl-citation.json"}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sdt>
        <w:sdtPr>
          <w:rPr>
            <w:rFonts w:ascii="Times New Roman" w:hAnsi="Times New Roman" w:cs="Times New Roman"/>
            <w:noProof/>
            <w:sz w:val="24"/>
            <w:szCs w:val="24"/>
            <w:lang w:eastAsia="es-CO"/>
          </w:rPr>
          <w:alias w:val="To edit, see citavi.com/edit"/>
          <w:tag w:val="CitaviPlaceholder#e4e56763-5253-49a9-ab1a-6720ddff5fe6"/>
          <w:id w:val="-363593652"/>
          <w:placeholder>
            <w:docPart w:val="DefaultPlaceholder_-1854013440"/>
          </w:placeholder>
        </w:sdtPr>
        <w:sdtEndPr/>
        <w:sdtContent>
          <w:r w:rsidR="009F4B44">
            <w:rPr>
              <w:rFonts w:ascii="Times New Roman" w:hAnsi="Times New Roman" w:cs="Times New Roman"/>
              <w:noProof/>
              <w:sz w:val="24"/>
              <w:szCs w:val="24"/>
              <w:lang w:eastAsia="es-CO"/>
            </w:rPr>
            <w:fldChar w:fldCharType="begin"/>
          </w:r>
          <w:r w:rsidR="009E1CE0">
            <w:rPr>
              <w:rFonts w:ascii="Times New Roman" w:hAnsi="Times New Roman" w:cs="Times New Roman"/>
              <w:noProof/>
              <w:sz w:val="24"/>
              <w:szCs w:val="24"/>
              <w:lang w:eastAsia="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Y2YTJkNmQxLWM0NTQtNGRkZi1iOTkzLWMyNmM4YWNlYTFlYiIsIlJhbmdlU3RhcnQiOjY0LCJSYW5nZUxlbmd0aCI6MzAsIlJlZmVyZW5jZUlkIjoiZDYzYTUxNjQtM2EzZi00Mzc0LTk4OTQtMGI4MDgwYzhjMzY4Ii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}</w:instrText>
          </w:r>
          <w:r w:rsidR="009F4B44">
            <w:rPr>
              <w:rFonts w:ascii="Times New Roman" w:hAnsi="Times New Roman" w:cs="Times New Roman"/>
              <w:noProof/>
              <w:sz w:val="24"/>
              <w:szCs w:val="24"/>
              <w:lang w:eastAsia="es-CO"/>
            </w:rPr>
            <w:fldChar w:fldCharType="separate"/>
          </w:r>
          <w:hyperlink w:anchor="_CTVL0011574837629814a44afab255a9038c8d5" w:tooltip="Barry Bozeman (2000). Technology transfer and public policy: a review of research and theory. Research Policy, 29(4-5), 627–655. https://doi.org/10.10…" w:history="1">
            <w:r w:rsidR="00197300">
              <w:rPr>
                <w:rFonts w:ascii="Times New Roman" w:hAnsi="Times New Roman" w:cs="Times New Roman"/>
                <w:noProof/>
                <w:sz w:val="24"/>
                <w:szCs w:val="24"/>
                <w:lang w:eastAsia="es-CO"/>
              </w:rPr>
              <w:t>(Barry Bozeman, 2000</w:t>
            </w:r>
          </w:hyperlink>
          <w:hyperlink w:anchor="_CTVL00195cb332546d341a1aa36790884decdcb" w:tooltip="Juan Jesus Arenas y Domingo González (2018). Technology Transfer Models and Elements in the University-Industry Collaboration. Administrative Sciences…" w:history="1">
            <w:r w:rsidR="00197300">
              <w:rPr>
                <w:rFonts w:ascii="Times New Roman" w:hAnsi="Times New Roman" w:cs="Times New Roman"/>
                <w:noProof/>
                <w:sz w:val="24"/>
                <w:szCs w:val="24"/>
                <w:lang w:eastAsia="es-CO"/>
              </w:rPr>
              <w:t>; Juan Jesus Arenas y Domingo González, 2018</w:t>
            </w:r>
          </w:hyperlink>
          <w:hyperlink w:anchor="_CTVL001d63a51643a3f437498940b8080c8c368" w:tooltip="Markus Perkmann, Valentina Tartari, Maureen McKelvey, Erkko Autio, Anders Broström, Pablo D’Este, Riccardo Fini, Aldo Geuna, Rosa Grimaldi, Alan Hughe…" w:history="1">
            <w:r w:rsidR="00197300">
              <w:rPr>
                <w:rFonts w:ascii="Times New Roman" w:hAnsi="Times New Roman" w:cs="Times New Roman"/>
                <w:noProof/>
                <w:sz w:val="24"/>
                <w:szCs w:val="24"/>
                <w:lang w:eastAsia="es-CO"/>
              </w:rPr>
              <w:t>; Markus Perkmann et al., 2013</w:t>
            </w:r>
          </w:hyperlink>
          <w:hyperlink w:anchor="_CTVL00109ab956309304f05abe53865b0cedf5f" w:tooltip="Scott Shane (2004). Encouraging university entrepreneurship? The effect of the Bayh-Dole Act on university patenting in the United States. Journal of …" w:history="1">
            <w:r w:rsidR="00197300">
              <w:rPr>
                <w:rFonts w:ascii="Times New Roman" w:hAnsi="Times New Roman" w:cs="Times New Roman"/>
                <w:noProof/>
                <w:sz w:val="24"/>
                <w:szCs w:val="24"/>
                <w:lang w:eastAsia="es-CO"/>
              </w:rPr>
              <w:t>; Scott Shane, 2004)</w:t>
            </w:r>
          </w:hyperlink>
          <w:r w:rsidR="009F4B44">
            <w:rPr>
              <w:rFonts w:ascii="Times New Roman" w:hAnsi="Times New Roman" w:cs="Times New Roman"/>
              <w:noProof/>
              <w:sz w:val="24"/>
              <w:szCs w:val="24"/>
              <w:lang w:eastAsia="es-CO"/>
            </w:rPr>
            <w:fldChar w:fldCharType="end"/>
          </w:r>
        </w:sdtContent>
      </w:sdt>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xml:space="preserve"> corroboran la complejidad del proceso de TT, debido a la presencia de muchos elementos, factores externos asociados a la industria y diferentes mecanismos involucrados durante el proceso de migración de la tecnología desde instituciones y organizaciones dedicadas a actividades de I+D hacia el uso industrial</w:t>
      </w:r>
      <w:r w:rsidR="00F30428">
        <w:rPr>
          <w:rFonts w:ascii="Times New Roman" w:hAnsi="Times New Roman" w:cs="Times New Roman"/>
          <w:sz w:val="24"/>
          <w:szCs w:val="24"/>
          <w:lang w:eastAsia="es-CO"/>
        </w:rPr>
        <w:t xml:space="preserve"> </w:t>
      </w:r>
      <w:sdt>
        <w:sdtPr>
          <w:rPr>
            <w:rFonts w:ascii="Times New Roman" w:hAnsi="Times New Roman" w:cs="Times New Roman"/>
            <w:sz w:val="24"/>
            <w:szCs w:val="24"/>
            <w:lang w:eastAsia="es-CO"/>
          </w:rPr>
          <w:alias w:val="To edit, see citavi.com/edit"/>
          <w:tag w:val="CitaviPlaceholder#618feada-f502-47b1-94ce-ce14ea204bcc"/>
          <w:id w:val="74091933"/>
          <w:placeholder>
            <w:docPart w:val="DefaultPlaceholder_-1854013440"/>
          </w:placeholder>
        </w:sdtPr>
        <w:sdtEndPr/>
        <w:sdtContent>
          <w:r w:rsidR="00F30428">
            <w:rPr>
              <w:rFonts w:ascii="Times New Roman" w:hAnsi="Times New Roman" w:cs="Times New Roman"/>
              <w:sz w:val="24"/>
              <w:szCs w:val="24"/>
              <w:lang w:eastAsia="es-CO"/>
            </w:rPr>
            <w:fldChar w:fldCharType="begin"/>
          </w:r>
          <w:r w:rsidR="009E1CE0">
            <w:rPr>
              <w:rFonts w:ascii="Times New Roman" w:hAnsi="Times New Roman" w:cs="Times New Roman"/>
              <w:sz w:val="24"/>
              <w:szCs w:val="24"/>
              <w:lang w:eastAsia="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yOWE4MGRhLWFkYzMtNGY3Yy05YzhlLTA1N2E0YjI2YmY3OCIsIlJhbmdlTGVuZ3RoIjoyOCwiUmVmZXJlbmNlSWQiOiIyMDU3NzI2Mi0zYjlhLTQyZWYtYWM3OC02NzIxMDNiNGU0ND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LZXl3b3JkcyI6W10sIkxvY2F0aW9ucyI6W3siJGlkIjoiMTIiLCIkdHlwZSI6IlN3aXNzQWNhZGVtaWMuQ2l0YXZpLkxvY2F0aW9uLCBTd2lzc0FjYWRlbWljLkNpdGF2aSIsIkFkZHJlc3MiOnsiJGlkIjoiMTMiLCIkdHlwZSI6IlN3aXNzQWNhZGVtaWMuQ2l0YXZpLkxpbmtlZFJlc291cmNlLCBTd2lzc0FjYWRlbWljLkNpdGF2aSIsIkxpbmtlZFJlc291cmNlVHlwZSI6NSwiT3JpZ2luYWxTdHJpbmciOiIxMC4xMDE2L0ouUkVTUE9MLjIwMTQuMDYuMDA4IiwiVXJpU3RyaW5nIjoiaHR0cHM6Ly9kb2kub3JnLzEwLjEwMTYvSi5SRVNQT0wuMjAxNC4wNi4wMDg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}</w:instrText>
          </w:r>
          <w:r w:rsidR="00F30428">
            <w:rPr>
              <w:rFonts w:ascii="Times New Roman" w:hAnsi="Times New Roman" w:cs="Times New Roman"/>
              <w:sz w:val="24"/>
              <w:szCs w:val="24"/>
              <w:lang w:eastAsia="es-CO"/>
            </w:rPr>
            <w:fldChar w:fldCharType="separate"/>
          </w:r>
          <w:hyperlink w:anchor="_CTVL001205772623b9a42efac78672103b4e448" w:tooltip="Barry Bozeman, Heather Rimes y Jan Youtie (2015). The evolving state-of-the-art in technology transfer research: Revisiting the contingent effectivene…" w:history="1">
            <w:r w:rsidR="00197300">
              <w:rPr>
                <w:rFonts w:ascii="Times New Roman" w:hAnsi="Times New Roman" w:cs="Times New Roman"/>
                <w:sz w:val="24"/>
                <w:szCs w:val="24"/>
                <w:lang w:eastAsia="es-CO"/>
              </w:rPr>
              <w:t>(Barry Bozeman et al., 2015)</w:t>
            </w:r>
          </w:hyperlink>
          <w:r w:rsidR="00F30428">
            <w:rPr>
              <w:rFonts w:ascii="Times New Roman" w:hAnsi="Times New Roman" w:cs="Times New Roman"/>
              <w:sz w:val="24"/>
              <w:szCs w:val="24"/>
              <w:lang w:eastAsia="es-CO"/>
            </w:rPr>
            <w:fldChar w:fldCharType="end"/>
          </w:r>
        </w:sdtContent>
      </w:sdt>
      <w:r w:rsidRPr="008962DB">
        <w:rPr>
          <w:rFonts w:ascii="Times New Roman" w:hAnsi="Times New Roman" w:cs="Times New Roman"/>
          <w:sz w:val="24"/>
          <w:szCs w:val="24"/>
          <w:lang w:eastAsia="es-CO"/>
        </w:rPr>
        <w:t xml:space="preserve">. </w:t>
      </w:r>
    </w:p>
    <w:p w14:paraId="17A60667" w14:textId="77777777" w:rsidR="008962DB" w:rsidRPr="008962DB" w:rsidRDefault="008962DB" w:rsidP="008962DB">
      <w:pPr>
        <w:spacing w:line="480" w:lineRule="auto"/>
        <w:ind w:firstLine="709"/>
        <w:jc w:val="both"/>
        <w:rPr>
          <w:rFonts w:ascii="Times New Roman" w:hAnsi="Times New Roman" w:cs="Times New Roman"/>
          <w:sz w:val="24"/>
          <w:szCs w:val="24"/>
          <w:lang w:eastAsia="es-CO"/>
        </w:rPr>
      </w:pPr>
      <w:r w:rsidRPr="008962DB">
        <w:rPr>
          <w:rFonts w:ascii="Times New Roman" w:hAnsi="Times New Roman" w:cs="Times New Roman"/>
          <w:sz w:val="24"/>
          <w:szCs w:val="24"/>
          <w:lang w:eastAsia="es-CO"/>
        </w:rPr>
        <w:t xml:space="preserve">Considerando esta complejidad, además del aumento de investigaciones sobre el tópico que se ha visto en los últimos años ( Ver Apéndice 2), existe una gran necesidad de revisar la literatura para encontrar comportamientos comunes que ayuden a simplificar la comprensión de la TT </w:t>
      </w:r>
      <w:r w:rsidRPr="008962DB">
        <w:rPr>
          <w:rFonts w:ascii="Times New Roman" w:hAnsi="Times New Roman" w:cs="Times New Roman"/>
          <w:sz w:val="24"/>
          <w:szCs w:val="24"/>
          <w:lang w:eastAsia="es-CO"/>
        </w:rPr>
        <w:fldChar w:fldCharType="begin" w:fldLock="1"/>
      </w:r>
      <w:r w:rsidRPr="008962DB">
        <w:rPr>
          <w:rFonts w:ascii="Times New Roman" w:hAnsi="Times New Roman" w:cs="Times New Roman"/>
          <w:sz w:val="24"/>
          <w:szCs w:val="24"/>
          <w:lang w:eastAsia="es-CO"/>
        </w:rPr>
        <w:instrText>ADDIN CSL_CITATION {"citationItems":[{"id":"ITEM-1","itemData":{"DOI":"10.3390/ADMSCI8020019","ISSN":"2076-3387","abstract":"Over the years, universities have been considered as research centers that seek to collaborate with industries to create innovative products. This link has generated many concepts, among them being the concept of technology transfer. The objective of this work is to present a systematic review on the technology transfer generated in university-industry collaboration (UIC). Based on a review of 66 papers, the results presented in this article include the technology transfer (TT) models presented in the literature, a description of the common elements in a transfer process, and a description of the interaction between the elements involved, through the presentation of a conceptual model of technology transfer in the context of collaboration between the university and the industry.","author":[{"dropping-particle":"","family":"Arenas","given":"Juan Jesus","non-dropping-particle":"","parse-names":false,"suffix":""},{"dropping-particle":"","family":"González","given":"Domingo","non-dropping-particle":"","parse-names":false,"suffix":""}],"container-title":"Administrative Sciences 2018, Vol. 8, Page 19","id":"ITEM-1","issue":"2","issued":{"date-parts":[["2018","6","6"]]},"page":"19","publisher":"Multidisciplinary Digital Publishing Institute","title":"Technology Transfer Models and Elements in the University-Industry Collaboration","type":"article-journal","volume":"8"},"uris":["http://www.mendeley.com/documents/?uuid=1d304ddb-53af-3baf-9d35-09275a9dc0dd"]}],"mendeley":{"formattedCitation":"(Arenas &amp; González, 2018)","plainTextFormattedCitation":"(Arenas &amp; González, 2018)","previouslyFormattedCitation":"(Arenas &amp; González, 2018)"},"properties":{"noteIndex":0},"schema":"https://github.com/citation-style-language/schema/raw/master/csl-citation.json"}</w:instrText>
      </w:r>
      <w:r w:rsidRPr="008962DB">
        <w:rPr>
          <w:rFonts w:ascii="Times New Roman" w:hAnsi="Times New Roman" w:cs="Times New Roman"/>
          <w:sz w:val="24"/>
          <w:szCs w:val="24"/>
          <w:lang w:eastAsia="es-CO"/>
        </w:rPr>
        <w:fldChar w:fldCharType="separate"/>
      </w:r>
      <w:r w:rsidRPr="008962DB">
        <w:rPr>
          <w:rFonts w:ascii="Times New Roman" w:hAnsi="Times New Roman" w:cs="Times New Roman"/>
          <w:noProof/>
          <w:sz w:val="24"/>
          <w:szCs w:val="24"/>
          <w:lang w:eastAsia="es-CO"/>
        </w:rPr>
        <w:t>(Arenas &amp; González, 2018)</w:t>
      </w:r>
      <w:r w:rsidRPr="008962DB">
        <w:rPr>
          <w:rFonts w:ascii="Times New Roman" w:hAnsi="Times New Roman" w:cs="Times New Roman"/>
          <w:sz w:val="24"/>
          <w:szCs w:val="24"/>
          <w:lang w:eastAsia="es-CO"/>
        </w:rPr>
        <w:fldChar w:fldCharType="end"/>
      </w:r>
      <w:r w:rsidRPr="008962DB">
        <w:rPr>
          <w:rFonts w:ascii="Times New Roman" w:hAnsi="Times New Roman" w:cs="Times New Roman"/>
          <w:sz w:val="24"/>
          <w:szCs w:val="24"/>
          <w:lang w:eastAsia="es-CO"/>
        </w:rPr>
        <w:t>, enfocando su aplicabilidad al sector salud.</w:t>
      </w:r>
    </w:p>
    <w:p w14:paraId="30324BBE" w14:textId="77777777" w:rsidR="009074D0" w:rsidRPr="008962DB" w:rsidRDefault="009074D0" w:rsidP="00DD096A">
      <w:pPr>
        <w:spacing w:line="480" w:lineRule="auto"/>
        <w:ind w:firstLine="720"/>
        <w:jc w:val="center"/>
        <w:rPr>
          <w:rFonts w:ascii="Times New Roman" w:hAnsi="Times New Roman" w:cs="Times New Roman"/>
          <w:sz w:val="24"/>
          <w:szCs w:val="24"/>
        </w:rPr>
      </w:pPr>
    </w:p>
    <w:sdt>
      <w:sdtPr>
        <w:rPr>
          <w:rFonts w:asciiTheme="minorHAnsi" w:eastAsiaTheme="minorHAnsi" w:hAnsiTheme="minorHAnsi" w:cstheme="minorBidi"/>
          <w:b w:val="0"/>
          <w:sz w:val="22"/>
          <w:szCs w:val="22"/>
        </w:rPr>
        <w:tag w:val="CitaviBibliography"/>
        <w:id w:val="1100762146"/>
        <w:placeholder>
          <w:docPart w:val="DefaultPlaceholder_-1854013440"/>
        </w:placeholder>
      </w:sdtPr>
      <w:sdtEndPr>
        <w:rPr>
          <w:rFonts w:cs="Times New Roman"/>
          <w:szCs w:val="24"/>
        </w:rPr>
      </w:sdtEndPr>
      <w:sdtContent>
        <w:p w14:paraId="2E1F4B91" w14:textId="4C15E7FA" w:rsidR="00532E39" w:rsidRPr="000D6AEB" w:rsidRDefault="00D9013E" w:rsidP="000D6AEB">
          <w:pPr>
            <w:pStyle w:val="CitaviBibliographyHeading"/>
            <w:spacing w:line="480" w:lineRule="auto"/>
            <w:jc w:val="center"/>
            <w:rPr>
              <w:rFonts w:cs="Times New Roman"/>
              <w:szCs w:val="24"/>
            </w:rPr>
          </w:pPr>
          <w:r w:rsidRPr="000D6AEB">
            <w:rPr>
              <w:rFonts w:cs="Times New Roman"/>
              <w:szCs w:val="24"/>
            </w:rPr>
            <w:fldChar w:fldCharType="begin"/>
          </w:r>
          <w:r w:rsidRPr="000D6AEB">
            <w:rPr>
              <w:rFonts w:cs="Times New Roman"/>
              <w:szCs w:val="24"/>
            </w:rPr>
            <w:instrText>ADDIN CitaviBibliography</w:instrText>
          </w:r>
          <w:r w:rsidRPr="000D6AEB">
            <w:rPr>
              <w:rFonts w:cs="Times New Roman"/>
              <w:szCs w:val="24"/>
            </w:rPr>
            <w:fldChar w:fldCharType="separate"/>
          </w:r>
          <w:r w:rsidR="00532E39" w:rsidRPr="000D6AEB">
            <w:rPr>
              <w:rFonts w:cs="Times New Roman"/>
              <w:szCs w:val="24"/>
            </w:rPr>
            <w:t>Referencias</w:t>
          </w:r>
          <w:r w:rsidR="000D6AEB">
            <w:rPr>
              <w:rFonts w:cs="Times New Roman"/>
              <w:szCs w:val="24"/>
            </w:rPr>
            <w:t xml:space="preserve"> Bibliográficas</w:t>
          </w:r>
          <w:r w:rsidR="000D6AEB">
            <w:rPr>
              <w:rFonts w:cs="Times New Roman"/>
              <w:szCs w:val="24"/>
            </w:rPr>
            <w:br/>
          </w:r>
        </w:p>
        <w:p w14:paraId="31BA1370"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12" w:name="_CTVL001f28bdb3143c44a12bd5d8d60ca7d705f"/>
          <w:r w:rsidRPr="000D6AEB">
            <w:rPr>
              <w:rFonts w:ascii="Times New Roman" w:hAnsi="Times New Roman" w:cs="Times New Roman"/>
              <w:sz w:val="24"/>
              <w:szCs w:val="24"/>
            </w:rPr>
            <w:t xml:space="preserve">Alana Corsi, Fabiane Florencio de Souza, Regina Negri Pagani y João Luiz Kovaleski (2021). </w:t>
          </w:r>
          <w:r w:rsidRPr="000D6AEB">
            <w:rPr>
              <w:rFonts w:ascii="Times New Roman" w:hAnsi="Times New Roman" w:cs="Times New Roman"/>
              <w:sz w:val="24"/>
              <w:szCs w:val="24"/>
              <w:lang w:val="en-US"/>
            </w:rPr>
            <w:t>Technology transfer oriented to sustainable development: proposal of a theoretical model based on barriers and opportunities.</w:t>
          </w:r>
          <w:bookmarkEnd w:id="12"/>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Scientometrics</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126</w:t>
          </w:r>
          <w:r w:rsidRPr="000D6AEB">
            <w:rPr>
              <w:rFonts w:ascii="Times New Roman" w:hAnsi="Times New Roman" w:cs="Times New Roman"/>
              <w:sz w:val="24"/>
              <w:szCs w:val="24"/>
              <w:lang w:val="en-US"/>
            </w:rPr>
            <w:t>(6), 5081–5112. https://doi.org/10.1007/S11192-021-03969-0/TABLES/2</w:t>
          </w:r>
        </w:p>
        <w:p w14:paraId="3A6CB7ED"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13" w:name="_CTVL0011574837629814a44afab255a9038c8d5"/>
          <w:r w:rsidRPr="000D6AEB">
            <w:rPr>
              <w:rFonts w:ascii="Times New Roman" w:hAnsi="Times New Roman" w:cs="Times New Roman"/>
              <w:sz w:val="24"/>
              <w:szCs w:val="24"/>
              <w:lang w:val="en-US"/>
            </w:rPr>
            <w:t>Barry Bozeman (2000). Technology transfer and public policy: a review of research and theory.</w:t>
          </w:r>
          <w:bookmarkEnd w:id="13"/>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Research Policy</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29</w:t>
          </w:r>
          <w:r w:rsidRPr="000D6AEB">
            <w:rPr>
              <w:rFonts w:ascii="Times New Roman" w:hAnsi="Times New Roman" w:cs="Times New Roman"/>
              <w:sz w:val="24"/>
              <w:szCs w:val="24"/>
              <w:lang w:val="en-US"/>
            </w:rPr>
            <w:t>(4-5), 627–655. https://doi.org/10.1016/S0048-7333(99)00093-1</w:t>
          </w:r>
        </w:p>
        <w:p w14:paraId="5688D02E" w14:textId="77777777" w:rsidR="00532E39" w:rsidRPr="000D6AEB" w:rsidRDefault="00532E39" w:rsidP="000D6AEB">
          <w:pPr>
            <w:pStyle w:val="CitaviBibliographyEntry"/>
            <w:spacing w:line="480" w:lineRule="auto"/>
            <w:jc w:val="both"/>
            <w:rPr>
              <w:rFonts w:ascii="Times New Roman" w:hAnsi="Times New Roman" w:cs="Times New Roman"/>
              <w:sz w:val="24"/>
              <w:szCs w:val="24"/>
            </w:rPr>
          </w:pPr>
          <w:bookmarkStart w:id="14" w:name="_CTVL001205772623b9a42efac78672103b4e448"/>
          <w:r w:rsidRPr="000D6AEB">
            <w:rPr>
              <w:rFonts w:ascii="Times New Roman" w:hAnsi="Times New Roman" w:cs="Times New Roman"/>
              <w:sz w:val="24"/>
              <w:szCs w:val="24"/>
              <w:lang w:val="en-US"/>
            </w:rPr>
            <w:t>Barry Bozeman, Heather Rimes y Jan Youtie (2015). The evolving state-of-the-art in technology transfer research: Revisiting the contingent effectiveness model.</w:t>
          </w:r>
          <w:bookmarkEnd w:id="14"/>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rPr>
            <w:t>Research Policy</w:t>
          </w:r>
          <w:r w:rsidRPr="000D6AEB">
            <w:rPr>
              <w:rFonts w:ascii="Times New Roman" w:hAnsi="Times New Roman" w:cs="Times New Roman"/>
              <w:sz w:val="24"/>
              <w:szCs w:val="24"/>
            </w:rPr>
            <w:t xml:space="preserve">, </w:t>
          </w:r>
          <w:r w:rsidRPr="000D6AEB">
            <w:rPr>
              <w:rFonts w:ascii="Times New Roman" w:hAnsi="Times New Roman" w:cs="Times New Roman"/>
              <w:i/>
              <w:sz w:val="24"/>
              <w:szCs w:val="24"/>
            </w:rPr>
            <w:t>44</w:t>
          </w:r>
          <w:r w:rsidRPr="000D6AEB">
            <w:rPr>
              <w:rFonts w:ascii="Times New Roman" w:hAnsi="Times New Roman" w:cs="Times New Roman"/>
              <w:sz w:val="24"/>
              <w:szCs w:val="24"/>
            </w:rPr>
            <w:t>(1), 34–49. https://doi.org/10.1016/J.RESPOL.2014.06.008</w:t>
          </w:r>
        </w:p>
        <w:p w14:paraId="72BC7706" w14:textId="77777777" w:rsidR="00532E39" w:rsidRPr="000D6AEB" w:rsidRDefault="00532E39" w:rsidP="000D6AEB">
          <w:pPr>
            <w:pStyle w:val="CitaviBibliographyEntry"/>
            <w:spacing w:line="480" w:lineRule="auto"/>
            <w:jc w:val="both"/>
            <w:rPr>
              <w:rFonts w:ascii="Times New Roman" w:hAnsi="Times New Roman" w:cs="Times New Roman"/>
              <w:sz w:val="24"/>
              <w:szCs w:val="24"/>
            </w:rPr>
          </w:pPr>
          <w:bookmarkStart w:id="15" w:name="_CTVL001e617d143fd0b4b58af58495dafdadbc4"/>
          <w:r w:rsidRPr="000D6AEB">
            <w:rPr>
              <w:rFonts w:ascii="Times New Roman" w:hAnsi="Times New Roman" w:cs="Times New Roman"/>
              <w:sz w:val="24"/>
              <w:szCs w:val="24"/>
            </w:rPr>
            <w:t xml:space="preserve">Blanch, L., Guerra, L., Lanuza, A. y Palomar, G. (2014). </w:t>
          </w:r>
          <w:r w:rsidRPr="000D6AEB">
            <w:rPr>
              <w:rFonts w:ascii="Times New Roman" w:hAnsi="Times New Roman" w:cs="Times New Roman"/>
              <w:sz w:val="24"/>
              <w:szCs w:val="24"/>
              <w:lang w:val="en-US"/>
            </w:rPr>
            <w:t>Innovation and technology transfer in the health sciences: A cross-sectional perspective.</w:t>
          </w:r>
          <w:bookmarkEnd w:id="15"/>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rPr>
            <w:t>Medicina Intensiva</w:t>
          </w:r>
          <w:r w:rsidRPr="000D6AEB">
            <w:rPr>
              <w:rFonts w:ascii="Times New Roman" w:hAnsi="Times New Roman" w:cs="Times New Roman"/>
              <w:sz w:val="24"/>
              <w:szCs w:val="24"/>
            </w:rPr>
            <w:t xml:space="preserve">, </w:t>
          </w:r>
          <w:r w:rsidRPr="000D6AEB">
            <w:rPr>
              <w:rFonts w:ascii="Times New Roman" w:hAnsi="Times New Roman" w:cs="Times New Roman"/>
              <w:i/>
              <w:sz w:val="24"/>
              <w:szCs w:val="24"/>
            </w:rPr>
            <w:t>38</w:t>
          </w:r>
          <w:r w:rsidRPr="000D6AEB">
            <w:rPr>
              <w:rFonts w:ascii="Times New Roman" w:hAnsi="Times New Roman" w:cs="Times New Roman"/>
              <w:sz w:val="24"/>
              <w:szCs w:val="24"/>
            </w:rPr>
            <w:t>(8), 492–497. https://doi.org/10.1016/j.medin.2014.04.012</w:t>
          </w:r>
        </w:p>
        <w:p w14:paraId="5670CE7F"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16" w:name="_CTVL0018e11034705c848caba079337ffca3d93"/>
          <w:r w:rsidRPr="000D6AEB">
            <w:rPr>
              <w:rFonts w:ascii="Times New Roman" w:hAnsi="Times New Roman" w:cs="Times New Roman"/>
              <w:sz w:val="24"/>
              <w:szCs w:val="24"/>
            </w:rPr>
            <w:t xml:space="preserve">Brinda K. Varma (2014). </w:t>
          </w:r>
          <w:r w:rsidRPr="000D6AEB">
            <w:rPr>
              <w:rFonts w:ascii="Times New Roman" w:hAnsi="Times New Roman" w:cs="Times New Roman"/>
              <w:sz w:val="24"/>
              <w:szCs w:val="24"/>
              <w:lang w:val="en-US"/>
            </w:rPr>
            <w:t>Intellectual Property Rights and the Technology Transfer Process.</w:t>
          </w:r>
          <w:bookmarkEnd w:id="16"/>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Treatise on Process Metallurgy</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 xml:space="preserve">3. </w:t>
          </w:r>
          <w:r w:rsidRPr="000D6AEB">
            <w:rPr>
              <w:rFonts w:ascii="Times New Roman" w:hAnsi="Times New Roman" w:cs="Times New Roman"/>
              <w:sz w:val="24"/>
              <w:szCs w:val="24"/>
              <w:lang w:val="en-US"/>
            </w:rPr>
            <w:t>https://doi.org/10.1016/B978-0-08-096988-6.00039-0</w:t>
          </w:r>
        </w:p>
        <w:p w14:paraId="3519F3CB"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17" w:name="_CTVL0018e574c73c8d249a4845c6d6004954f05"/>
          <w:r w:rsidRPr="000D6AEB">
            <w:rPr>
              <w:rFonts w:ascii="Times New Roman" w:hAnsi="Times New Roman" w:cs="Times New Roman"/>
              <w:sz w:val="24"/>
              <w:szCs w:val="24"/>
              <w:lang w:val="en-US"/>
            </w:rPr>
            <w:t>Christian Davies-Colley y Willie Smith (2012). Implementing environmental technologies in development situations: The example of ecological toilets.</w:t>
          </w:r>
          <w:bookmarkEnd w:id="17"/>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Technology in Society</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34</w:t>
          </w:r>
          <w:r w:rsidRPr="000D6AEB">
            <w:rPr>
              <w:rFonts w:ascii="Times New Roman" w:hAnsi="Times New Roman" w:cs="Times New Roman"/>
              <w:sz w:val="24"/>
              <w:szCs w:val="24"/>
              <w:lang w:val="en-US"/>
            </w:rPr>
            <w:t>(1), 1–8. https://doi.org/10.1016/J.TECHSOC.2011.12.002</w:t>
          </w:r>
        </w:p>
        <w:p w14:paraId="771BD9F1"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18" w:name="_CTVL001b4801529a0c54b6c80e28dee0e7a1b13"/>
          <w:r w:rsidRPr="000D6AEB">
            <w:rPr>
              <w:rFonts w:ascii="Times New Roman" w:hAnsi="Times New Roman" w:cs="Times New Roman"/>
              <w:sz w:val="24"/>
              <w:szCs w:val="24"/>
              <w:lang w:val="en-US"/>
            </w:rPr>
            <w:t>D. McL. Lamberton (2008). Technology Transfer: A Communication Perspective edited by F. Williams and D.V. Gibson (Sage Publications, London, 1990), pp. 302, £13.95, ISBN 0-8039-3741-5.</w:t>
          </w:r>
          <w:bookmarkEnd w:id="18"/>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Http://dx.Doi.Org/10.1080/08109029108631974</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9</w:t>
          </w:r>
          <w:r w:rsidRPr="000D6AEB">
            <w:rPr>
              <w:rFonts w:ascii="Times New Roman" w:hAnsi="Times New Roman" w:cs="Times New Roman"/>
              <w:sz w:val="24"/>
              <w:szCs w:val="24"/>
              <w:lang w:val="en-US"/>
            </w:rPr>
            <w:t>(2), 426–427. https://doi.org/10.1080/08109029108631974</w:t>
          </w:r>
        </w:p>
        <w:p w14:paraId="54498F44"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19" w:name="_CTVL00180a36196031d4eba8ebacacf4065abea"/>
          <w:r w:rsidRPr="000D6AEB">
            <w:rPr>
              <w:rFonts w:ascii="Times New Roman" w:hAnsi="Times New Roman" w:cs="Times New Roman"/>
              <w:sz w:val="24"/>
              <w:szCs w:val="24"/>
              <w:lang w:val="en-US"/>
            </w:rPr>
            <w:lastRenderedPageBreak/>
            <w:t>Hung Yao Liu, Annapoornima M. Subramanian y Chang Chieh Hang (2020). Marrying the Best of Both Worlds: An Integrated Framework for Matching Technology Transfer Sources and Recipients.</w:t>
          </w:r>
          <w:bookmarkEnd w:id="19"/>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IEEE Transactions on Engineering Management</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67</w:t>
          </w:r>
          <w:r w:rsidRPr="000D6AEB">
            <w:rPr>
              <w:rFonts w:ascii="Times New Roman" w:hAnsi="Times New Roman" w:cs="Times New Roman"/>
              <w:sz w:val="24"/>
              <w:szCs w:val="24"/>
              <w:lang w:val="en-US"/>
            </w:rPr>
            <w:t>(1), 70–80. https://doi.org/10.1109/TEM.2018.2858812</w:t>
          </w:r>
        </w:p>
        <w:p w14:paraId="1EC9FA2F" w14:textId="77777777" w:rsidR="00532E39" w:rsidRPr="000D6AEB" w:rsidRDefault="00532E39" w:rsidP="000D6AEB">
          <w:pPr>
            <w:pStyle w:val="CitaviBibliographyEntry"/>
            <w:spacing w:line="480" w:lineRule="auto"/>
            <w:jc w:val="both"/>
            <w:rPr>
              <w:rFonts w:ascii="Times New Roman" w:hAnsi="Times New Roman" w:cs="Times New Roman"/>
              <w:sz w:val="24"/>
              <w:szCs w:val="24"/>
            </w:rPr>
          </w:pPr>
          <w:bookmarkStart w:id="20" w:name="_CTVL001c21b607a61b4464ba5829262e674f17a"/>
          <w:r w:rsidRPr="000D6AEB">
            <w:rPr>
              <w:rFonts w:ascii="Times New Roman" w:hAnsi="Times New Roman" w:cs="Times New Roman"/>
              <w:sz w:val="24"/>
              <w:szCs w:val="24"/>
              <w:lang w:val="en-US"/>
            </w:rPr>
            <w:t xml:space="preserve">Javier González Sabater. </w:t>
          </w:r>
          <w:r w:rsidRPr="000D6AEB">
            <w:rPr>
              <w:rFonts w:ascii="Times New Roman" w:hAnsi="Times New Roman" w:cs="Times New Roman"/>
              <w:sz w:val="24"/>
              <w:szCs w:val="24"/>
            </w:rPr>
            <w:t>(2009).</w:t>
          </w:r>
          <w:bookmarkEnd w:id="20"/>
          <w:r w:rsidRPr="000D6AEB">
            <w:rPr>
              <w:rFonts w:ascii="Times New Roman" w:hAnsi="Times New Roman" w:cs="Times New Roman"/>
              <w:sz w:val="24"/>
              <w:szCs w:val="24"/>
            </w:rPr>
            <w:t xml:space="preserve"> </w:t>
          </w:r>
          <w:r w:rsidRPr="000D6AEB">
            <w:rPr>
              <w:rFonts w:ascii="Times New Roman" w:hAnsi="Times New Roman" w:cs="Times New Roman"/>
              <w:i/>
              <w:sz w:val="24"/>
              <w:szCs w:val="24"/>
            </w:rPr>
            <w:t>Manual de trasnferencia de tecnología y conocimiento</w:t>
          </w:r>
          <w:r w:rsidRPr="000D6AEB">
            <w:rPr>
              <w:rFonts w:ascii="Times New Roman" w:hAnsi="Times New Roman" w:cs="Times New Roman"/>
              <w:sz w:val="24"/>
              <w:szCs w:val="24"/>
            </w:rPr>
            <w:t xml:space="preserve">. www.gonzalezsabater.com. </w:t>
          </w:r>
        </w:p>
        <w:p w14:paraId="19B6C9E2"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21" w:name="_CTVL001d11a73c0b0ce40a78c42bb9b5698c694"/>
          <w:r w:rsidRPr="000D6AEB">
            <w:rPr>
              <w:rFonts w:ascii="Times New Roman" w:hAnsi="Times New Roman" w:cs="Times New Roman"/>
              <w:sz w:val="24"/>
              <w:szCs w:val="24"/>
              <w:lang w:val="en-US"/>
            </w:rPr>
            <w:t>Joan Marie Kraft, Jane S. Mezoff, Ellen D. Sogolow, Mary Spink Neumann, Pat A. Thomas y Jeffrey A. Kelly. (2000).</w:t>
          </w:r>
          <w:bookmarkEnd w:id="21"/>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A technology transfer model for effective HIV/AIDS interventions: Science and practice</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AIDS Education and Prevention</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12</w:t>
          </w:r>
          <w:r w:rsidRPr="000D6AEB">
            <w:rPr>
              <w:rFonts w:ascii="Times New Roman" w:hAnsi="Times New Roman" w:cs="Times New Roman"/>
              <w:sz w:val="24"/>
              <w:szCs w:val="24"/>
              <w:lang w:val="en-US"/>
            </w:rPr>
            <w:t>. https://www.proquest.com/openview/e4a3df0fcfcf1bc096391b7a0fcfe563/1?pq-origsite=gscholar&amp;cbl=32604</w:t>
          </w:r>
        </w:p>
        <w:p w14:paraId="7C455B67"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22" w:name="_CTVL00195cb332546d341a1aa36790884decdcb"/>
          <w:r w:rsidRPr="000D6AEB">
            <w:rPr>
              <w:rFonts w:ascii="Times New Roman" w:hAnsi="Times New Roman" w:cs="Times New Roman"/>
              <w:sz w:val="24"/>
              <w:szCs w:val="24"/>
            </w:rPr>
            <w:t xml:space="preserve">Juan Jesus Arenas y Domingo González (2018). </w:t>
          </w:r>
          <w:r w:rsidRPr="000D6AEB">
            <w:rPr>
              <w:rFonts w:ascii="Times New Roman" w:hAnsi="Times New Roman" w:cs="Times New Roman"/>
              <w:sz w:val="24"/>
              <w:szCs w:val="24"/>
              <w:lang w:val="en-US"/>
            </w:rPr>
            <w:t>Technology Transfer Models and Elements in the University-Industry Collaboration.</w:t>
          </w:r>
          <w:bookmarkEnd w:id="22"/>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Administrative Sciences 2018, Vol. 8, Page 19</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8</w:t>
          </w:r>
          <w:r w:rsidRPr="000D6AEB">
            <w:rPr>
              <w:rFonts w:ascii="Times New Roman" w:hAnsi="Times New Roman" w:cs="Times New Roman"/>
              <w:sz w:val="24"/>
              <w:szCs w:val="24"/>
              <w:lang w:val="en-US"/>
            </w:rPr>
            <w:t>(2), 19. https://doi.org/10.3390/ADMSCI8020019</w:t>
          </w:r>
        </w:p>
        <w:p w14:paraId="1734300D"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23" w:name="_CTVL0019cadb4a4fd8e45448618def875a6fd77"/>
          <w:r w:rsidRPr="000D6AEB">
            <w:rPr>
              <w:rFonts w:ascii="Times New Roman" w:hAnsi="Times New Roman" w:cs="Times New Roman"/>
              <w:sz w:val="24"/>
              <w:szCs w:val="24"/>
              <w:lang w:val="en-US"/>
            </w:rPr>
            <w:t>Juan Zhang, Wei Liu y Xiamei Peng (2010). Research on technology transfer readiness level and its application in University Technology Innovation Management.</w:t>
          </w:r>
          <w:bookmarkEnd w:id="23"/>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Proceedings of the International Conference on E-Business and E-Government, ICEE 2010</w:t>
          </w:r>
          <w:r w:rsidRPr="000D6AEB">
            <w:rPr>
              <w:rFonts w:ascii="Times New Roman" w:hAnsi="Times New Roman" w:cs="Times New Roman"/>
              <w:sz w:val="24"/>
              <w:szCs w:val="24"/>
              <w:lang w:val="en-US"/>
            </w:rPr>
            <w:t>, 1904–1907. https://doi.org/10.1109/ICEE.2010.481</w:t>
          </w:r>
        </w:p>
        <w:p w14:paraId="17846B5F"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24" w:name="_CTVL001d63a51643a3f437498940b8080c8c368"/>
          <w:r w:rsidRPr="000D6AEB">
            <w:rPr>
              <w:rFonts w:ascii="Times New Roman" w:hAnsi="Times New Roman" w:cs="Times New Roman"/>
              <w:sz w:val="24"/>
              <w:szCs w:val="24"/>
              <w:lang w:val="en-US"/>
            </w:rPr>
            <w:t>Markus Perkmann, Valentina Tartari, Maureen McKelvey, Erkko Autio, Anders Broström, Pablo D’Este, Riccardo Fini, Aldo Geuna, Rosa Grimaldi, Alan Hughes, Stefan Krabel, Michael Kitson, Patrick Llerena, Franceso Lissoni, Ammon Salter y Maurizio Sobrero (2013). Academic engagement and commercialisation: A review of the literature on university-industry relations.</w:t>
          </w:r>
          <w:bookmarkEnd w:id="24"/>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Research Policy</w:t>
          </w:r>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42</w:t>
          </w:r>
          <w:r w:rsidRPr="000D6AEB">
            <w:rPr>
              <w:rFonts w:ascii="Times New Roman" w:hAnsi="Times New Roman" w:cs="Times New Roman"/>
              <w:sz w:val="24"/>
              <w:szCs w:val="24"/>
              <w:lang w:val="en-US"/>
            </w:rPr>
            <w:t>(2), 423–442. https://doi.org/10.1016/J.RESPOL.2012.09.007</w:t>
          </w:r>
        </w:p>
        <w:p w14:paraId="1F50FA93" w14:textId="77777777" w:rsidR="00532E39" w:rsidRPr="000D6AEB" w:rsidRDefault="00532E39" w:rsidP="000D6AEB">
          <w:pPr>
            <w:pStyle w:val="CitaviBibliographyEntry"/>
            <w:spacing w:line="480" w:lineRule="auto"/>
            <w:jc w:val="both"/>
            <w:rPr>
              <w:rFonts w:ascii="Times New Roman" w:hAnsi="Times New Roman" w:cs="Times New Roman"/>
              <w:sz w:val="24"/>
              <w:szCs w:val="24"/>
              <w:lang w:val="en-US"/>
            </w:rPr>
          </w:pPr>
          <w:bookmarkStart w:id="25" w:name="_CTVL0015eb134173c3d4e769534c661ec34d30b"/>
          <w:r w:rsidRPr="000D6AEB">
            <w:rPr>
              <w:rFonts w:ascii="Times New Roman" w:hAnsi="Times New Roman" w:cs="Times New Roman"/>
              <w:sz w:val="24"/>
              <w:szCs w:val="24"/>
              <w:lang w:val="en-US"/>
            </w:rPr>
            <w:lastRenderedPageBreak/>
            <w:t>Paun, F. (2012). Chapter 18: The Demand Readiness Level Scale as New Proposed Tool to Hybridise Market Pull with Technology Push Approaches in Technology Transfer Practices. En D. B. Audretsch, E. E. Lehmann, A. N. Link y A. Starnecker (Eds.),</w:t>
          </w:r>
          <w:bookmarkEnd w:id="25"/>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lang w:val="en-US"/>
            </w:rPr>
            <w:t xml:space="preserve">Technology Transfer in a Global Economy </w:t>
          </w:r>
          <w:r w:rsidRPr="000D6AEB">
            <w:rPr>
              <w:rFonts w:ascii="Times New Roman" w:hAnsi="Times New Roman" w:cs="Times New Roman"/>
              <w:sz w:val="24"/>
              <w:szCs w:val="24"/>
              <w:lang w:val="en-US"/>
            </w:rPr>
            <w:t>(353-366). Springer US.</w:t>
          </w:r>
        </w:p>
        <w:p w14:paraId="104CB3C2" w14:textId="66E610EA" w:rsidR="00D9013E" w:rsidRPr="000D6AEB" w:rsidRDefault="00532E39" w:rsidP="000D6AEB">
          <w:pPr>
            <w:pStyle w:val="CitaviBibliographyEntry"/>
            <w:spacing w:line="480" w:lineRule="auto"/>
            <w:jc w:val="both"/>
            <w:rPr>
              <w:rFonts w:ascii="Times New Roman" w:hAnsi="Times New Roman" w:cs="Times New Roman"/>
              <w:sz w:val="24"/>
              <w:szCs w:val="24"/>
            </w:rPr>
          </w:pPr>
          <w:bookmarkStart w:id="26" w:name="_CTVL00109ab956309304f05abe53865b0cedf5f"/>
          <w:r w:rsidRPr="000D6AEB">
            <w:rPr>
              <w:rFonts w:ascii="Times New Roman" w:hAnsi="Times New Roman" w:cs="Times New Roman"/>
              <w:sz w:val="24"/>
              <w:szCs w:val="24"/>
              <w:lang w:val="en-US"/>
            </w:rPr>
            <w:t>Scott Shane (2004). Encouraging university entrepreneurship? The effect of the Bayh-Dole Act on university patenting in the United States.</w:t>
          </w:r>
          <w:bookmarkEnd w:id="26"/>
          <w:r w:rsidRPr="000D6AEB">
            <w:rPr>
              <w:rFonts w:ascii="Times New Roman" w:hAnsi="Times New Roman" w:cs="Times New Roman"/>
              <w:sz w:val="24"/>
              <w:szCs w:val="24"/>
              <w:lang w:val="en-US"/>
            </w:rPr>
            <w:t xml:space="preserve"> </w:t>
          </w:r>
          <w:r w:rsidRPr="000D6AEB">
            <w:rPr>
              <w:rFonts w:ascii="Times New Roman" w:hAnsi="Times New Roman" w:cs="Times New Roman"/>
              <w:i/>
              <w:sz w:val="24"/>
              <w:szCs w:val="24"/>
            </w:rPr>
            <w:t>Journal of Business Venturing</w:t>
          </w:r>
          <w:r w:rsidRPr="000D6AEB">
            <w:rPr>
              <w:rFonts w:ascii="Times New Roman" w:hAnsi="Times New Roman" w:cs="Times New Roman"/>
              <w:sz w:val="24"/>
              <w:szCs w:val="24"/>
            </w:rPr>
            <w:t xml:space="preserve">, </w:t>
          </w:r>
          <w:r w:rsidRPr="000D6AEB">
            <w:rPr>
              <w:rFonts w:ascii="Times New Roman" w:hAnsi="Times New Roman" w:cs="Times New Roman"/>
              <w:i/>
              <w:sz w:val="24"/>
              <w:szCs w:val="24"/>
            </w:rPr>
            <w:t>19</w:t>
          </w:r>
          <w:r w:rsidRPr="000D6AEB">
            <w:rPr>
              <w:rFonts w:ascii="Times New Roman" w:hAnsi="Times New Roman" w:cs="Times New Roman"/>
              <w:sz w:val="24"/>
              <w:szCs w:val="24"/>
            </w:rPr>
            <w:t>(1), 127–151. https://doi.org/10.1016/S0883-9026(02)00114-3</w:t>
          </w:r>
          <w:r w:rsidR="00D9013E" w:rsidRPr="000D6AEB">
            <w:rPr>
              <w:rFonts w:ascii="Times New Roman" w:hAnsi="Times New Roman" w:cs="Times New Roman"/>
              <w:sz w:val="24"/>
              <w:szCs w:val="24"/>
            </w:rPr>
            <w:fldChar w:fldCharType="end"/>
          </w:r>
        </w:p>
      </w:sdtContent>
    </w:sdt>
    <w:p w14:paraId="52780AB6" w14:textId="045A257C" w:rsidR="00D9013E" w:rsidRPr="00AE1F67" w:rsidRDefault="00D9013E" w:rsidP="00AE1F67">
      <w:pPr>
        <w:spacing w:line="480" w:lineRule="auto"/>
        <w:rPr>
          <w:rFonts w:ascii="Times New Roman" w:hAnsi="Times New Roman" w:cs="Times New Roman"/>
          <w:sz w:val="24"/>
          <w:szCs w:val="24"/>
        </w:rPr>
      </w:pPr>
    </w:p>
    <w:sectPr w:rsidR="00D9013E" w:rsidRPr="00AE1F67" w:rsidSect="00984077">
      <w:headerReference w:type="even" r:id="rId11"/>
      <w:headerReference w:type="default" r:id="rId12"/>
      <w:footerReference w:type="even" r:id="rId13"/>
      <w:footerReference w:type="default" r:id="rId14"/>
      <w:headerReference w:type="first" r:id="rId15"/>
      <w:footerReference w:type="first" r:id="rId16"/>
      <w:pgSz w:w="12240" w:h="15840"/>
      <w:pgMar w:top="1361" w:right="1361" w:bottom="136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0952" w14:textId="77777777" w:rsidR="008F2FA0" w:rsidRDefault="008F2FA0" w:rsidP="0032377E">
      <w:pPr>
        <w:spacing w:after="0" w:line="240" w:lineRule="auto"/>
      </w:pPr>
      <w:r>
        <w:separator/>
      </w:r>
    </w:p>
  </w:endnote>
  <w:endnote w:type="continuationSeparator" w:id="0">
    <w:p w14:paraId="16B594FE" w14:textId="77777777" w:rsidR="008F2FA0" w:rsidRDefault="008F2FA0" w:rsidP="00323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6172D" w14:textId="77777777" w:rsidR="0032377E" w:rsidRDefault="003237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9A998" w14:textId="77777777" w:rsidR="0032377E" w:rsidRDefault="0032377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5C70" w14:textId="77777777" w:rsidR="0032377E" w:rsidRDefault="003237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97F1" w14:textId="77777777" w:rsidR="008F2FA0" w:rsidRDefault="008F2FA0" w:rsidP="0032377E">
      <w:pPr>
        <w:spacing w:after="0" w:line="240" w:lineRule="auto"/>
      </w:pPr>
      <w:r>
        <w:separator/>
      </w:r>
    </w:p>
  </w:footnote>
  <w:footnote w:type="continuationSeparator" w:id="0">
    <w:p w14:paraId="6765B57C" w14:textId="77777777" w:rsidR="008F2FA0" w:rsidRDefault="008F2FA0" w:rsidP="00323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4E26" w14:textId="77777777" w:rsidR="0032377E" w:rsidRDefault="003237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4160" w14:textId="77777777" w:rsidR="0032377E" w:rsidRDefault="0032377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B865" w14:textId="77777777" w:rsidR="0032377E" w:rsidRDefault="003237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D8F6AC"/>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F272C9D8"/>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368D1E0"/>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CEF89614"/>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F5E4CD80"/>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C60"/>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52872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0CE212"/>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2E4B90"/>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88B620EC"/>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2B33C8A"/>
    <w:multiLevelType w:val="hybridMultilevel"/>
    <w:tmpl w:val="DED88E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9594066"/>
    <w:multiLevelType w:val="hybridMultilevel"/>
    <w:tmpl w:val="6F8857C8"/>
    <w:lvl w:ilvl="0" w:tplc="6AA839C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1014712E"/>
    <w:multiLevelType w:val="hybridMultilevel"/>
    <w:tmpl w:val="AFAE3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7EC5E11"/>
    <w:multiLevelType w:val="hybridMultilevel"/>
    <w:tmpl w:val="E2A8F1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85C3ECD"/>
    <w:multiLevelType w:val="hybridMultilevel"/>
    <w:tmpl w:val="4C2A4B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52A0601"/>
    <w:multiLevelType w:val="multilevel"/>
    <w:tmpl w:val="21D44A1A"/>
    <w:lvl w:ilvl="0">
      <w:start w:val="1"/>
      <w:numFmt w:val="decimal"/>
      <w:lvlText w:val="%1."/>
      <w:lvlJc w:val="left"/>
      <w:pPr>
        <w:ind w:left="1080" w:hanging="360"/>
      </w:pPr>
      <w:rPr>
        <w:b/>
        <w:bCs w:val="0"/>
      </w:rPr>
    </w:lvl>
    <w:lvl w:ilvl="1">
      <w:start w:val="1"/>
      <w:numFmt w:val="decimal"/>
      <w:isLgl/>
      <w:lvlText w:val="%1.%2."/>
      <w:lvlJc w:val="left"/>
      <w:pPr>
        <w:ind w:left="1620" w:hanging="900"/>
      </w:pPr>
    </w:lvl>
    <w:lvl w:ilvl="2">
      <w:start w:val="1"/>
      <w:numFmt w:val="decimal"/>
      <w:isLgl/>
      <w:lvlText w:val="%1.%2.%3."/>
      <w:lvlJc w:val="left"/>
      <w:pPr>
        <w:ind w:left="1620" w:hanging="900"/>
      </w:pPr>
    </w:lvl>
    <w:lvl w:ilvl="3">
      <w:start w:val="1"/>
      <w:numFmt w:val="decimal"/>
      <w:isLgl/>
      <w:lvlText w:val="%1.%2.%3.%4."/>
      <w:lvlJc w:val="left"/>
      <w:pPr>
        <w:ind w:left="1620" w:hanging="900"/>
      </w:pPr>
      <w:rPr>
        <w:b/>
        <w:bCs/>
      </w:rPr>
    </w:lvl>
    <w:lvl w:ilvl="4">
      <w:start w:val="1"/>
      <w:numFmt w:val="decimal"/>
      <w:isLgl/>
      <w:lvlText w:val="%1.%2.%3.%4.%5."/>
      <w:lvlJc w:val="left"/>
      <w:pPr>
        <w:ind w:left="1800" w:hanging="1080"/>
      </w:pPr>
      <w:rPr>
        <w:b/>
        <w:bCs/>
      </w:r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6" w15:restartNumberingAfterBreak="0">
    <w:nsid w:val="2CB961CF"/>
    <w:multiLevelType w:val="hybridMultilevel"/>
    <w:tmpl w:val="F5C2C6D6"/>
    <w:lvl w:ilvl="0" w:tplc="985EC898">
      <w:start w:val="1"/>
      <w:numFmt w:val="bullet"/>
      <w:lvlText w:val="-"/>
      <w:lvlJc w:val="left"/>
      <w:pPr>
        <w:ind w:left="720" w:hanging="360"/>
      </w:pPr>
      <w:rPr>
        <w:rFonts w:ascii="Calibri" w:eastAsia="Calibri" w:hAnsi="Calibri" w:cs="Calibri" w:hint="default"/>
        <w:b w:val="0"/>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7" w15:restartNumberingAfterBreak="0">
    <w:nsid w:val="49E817EB"/>
    <w:multiLevelType w:val="hybridMultilevel"/>
    <w:tmpl w:val="90C43460"/>
    <w:lvl w:ilvl="0" w:tplc="82F68B26">
      <w:start w:val="1"/>
      <w:numFmt w:val="decimal"/>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EF1EF2"/>
    <w:multiLevelType w:val="hybridMultilevel"/>
    <w:tmpl w:val="85487D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AC8463E"/>
    <w:multiLevelType w:val="multilevel"/>
    <w:tmpl w:val="F676C7CC"/>
    <w:lvl w:ilvl="0">
      <w:start w:val="1"/>
      <w:numFmt w:val="decimal"/>
      <w:lvlText w:val="%1."/>
      <w:lvlJc w:val="left"/>
      <w:pPr>
        <w:ind w:left="420" w:hanging="360"/>
      </w:pPr>
    </w:lvl>
    <w:lvl w:ilvl="1">
      <w:start w:val="1"/>
      <w:numFmt w:val="decimal"/>
      <w:isLgl/>
      <w:lvlText w:val="%1.%2."/>
      <w:lvlJc w:val="left"/>
      <w:pPr>
        <w:ind w:left="420" w:hanging="360"/>
      </w:pPr>
    </w:lvl>
    <w:lvl w:ilvl="2">
      <w:start w:val="1"/>
      <w:numFmt w:val="decimal"/>
      <w:isLgl/>
      <w:lvlText w:val="%1.%2.%3."/>
      <w:lvlJc w:val="left"/>
      <w:pPr>
        <w:ind w:left="780" w:hanging="720"/>
      </w:pPr>
      <w:rPr>
        <w:b/>
        <w:bCs/>
      </w:rPr>
    </w:lvl>
    <w:lvl w:ilvl="3">
      <w:start w:val="1"/>
      <w:numFmt w:val="decimal"/>
      <w:isLgl/>
      <w:lvlText w:val="%1.%2.%3.%4."/>
      <w:lvlJc w:val="left"/>
      <w:pPr>
        <w:ind w:left="780" w:hanging="720"/>
      </w:pPr>
      <w:rPr>
        <w:b/>
        <w:bCs/>
      </w:rPr>
    </w:lvl>
    <w:lvl w:ilvl="4">
      <w:start w:val="1"/>
      <w:numFmt w:val="decimal"/>
      <w:isLgl/>
      <w:lvlText w:val="%1.%2.%3.%4.%5."/>
      <w:lvlJc w:val="left"/>
      <w:pPr>
        <w:ind w:left="1140" w:hanging="1080"/>
      </w:pPr>
    </w:lvl>
    <w:lvl w:ilvl="5">
      <w:start w:val="1"/>
      <w:numFmt w:val="decimal"/>
      <w:isLgl/>
      <w:lvlText w:val="%1.%2.%3.%4.%5.%6."/>
      <w:lvlJc w:val="left"/>
      <w:pPr>
        <w:ind w:left="1140" w:hanging="1080"/>
      </w:pPr>
    </w:lvl>
    <w:lvl w:ilvl="6">
      <w:start w:val="1"/>
      <w:numFmt w:val="decimal"/>
      <w:isLgl/>
      <w:lvlText w:val="%1.%2.%3.%4.%5.%6.%7."/>
      <w:lvlJc w:val="left"/>
      <w:pPr>
        <w:ind w:left="1500" w:hanging="1440"/>
      </w:pPr>
    </w:lvl>
    <w:lvl w:ilvl="7">
      <w:start w:val="1"/>
      <w:numFmt w:val="decimal"/>
      <w:isLgl/>
      <w:lvlText w:val="%1.%2.%3.%4.%5.%6.%7.%8."/>
      <w:lvlJc w:val="left"/>
      <w:pPr>
        <w:ind w:left="1500" w:hanging="1440"/>
      </w:pPr>
    </w:lvl>
    <w:lvl w:ilvl="8">
      <w:start w:val="1"/>
      <w:numFmt w:val="decimal"/>
      <w:isLgl/>
      <w:lvlText w:val="%1.%2.%3.%4.%5.%6.%7.%8.%9."/>
      <w:lvlJc w:val="left"/>
      <w:pPr>
        <w:ind w:left="1860" w:hanging="1800"/>
      </w:pPr>
    </w:lvl>
  </w:abstractNum>
  <w:abstractNum w:abstractNumId="20" w15:restartNumberingAfterBreak="0">
    <w:nsid w:val="7CEA6638"/>
    <w:multiLevelType w:val="hybridMultilevel"/>
    <w:tmpl w:val="5FD01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1F2E89"/>
    <w:multiLevelType w:val="hybridMultilevel"/>
    <w:tmpl w:val="906CF4B2"/>
    <w:lvl w:ilvl="0" w:tplc="019E85B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2642402">
    <w:abstractNumId w:val="11"/>
  </w:num>
  <w:num w:numId="2" w16cid:durableId="14720892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9727036">
    <w:abstractNumId w:val="16"/>
  </w:num>
  <w:num w:numId="4" w16cid:durableId="7000838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2622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4588681">
    <w:abstractNumId w:val="16"/>
  </w:num>
  <w:num w:numId="7" w16cid:durableId="759644792">
    <w:abstractNumId w:val="10"/>
  </w:num>
  <w:num w:numId="8" w16cid:durableId="842431241">
    <w:abstractNumId w:val="13"/>
  </w:num>
  <w:num w:numId="9" w16cid:durableId="1328633306">
    <w:abstractNumId w:val="12"/>
  </w:num>
  <w:num w:numId="10" w16cid:durableId="1253972959">
    <w:abstractNumId w:val="18"/>
  </w:num>
  <w:num w:numId="11" w16cid:durableId="1696031065">
    <w:abstractNumId w:val="14"/>
  </w:num>
  <w:num w:numId="12" w16cid:durableId="1844468284">
    <w:abstractNumId w:val="21"/>
  </w:num>
  <w:num w:numId="13" w16cid:durableId="708652228">
    <w:abstractNumId w:val="17"/>
  </w:num>
  <w:num w:numId="14" w16cid:durableId="1842431777">
    <w:abstractNumId w:val="20"/>
  </w:num>
  <w:num w:numId="15" w16cid:durableId="2138335545">
    <w:abstractNumId w:val="0"/>
  </w:num>
  <w:num w:numId="16" w16cid:durableId="638994286">
    <w:abstractNumId w:val="1"/>
  </w:num>
  <w:num w:numId="17" w16cid:durableId="1985040343">
    <w:abstractNumId w:val="2"/>
  </w:num>
  <w:num w:numId="18" w16cid:durableId="1761170489">
    <w:abstractNumId w:val="3"/>
  </w:num>
  <w:num w:numId="19" w16cid:durableId="694424996">
    <w:abstractNumId w:val="4"/>
  </w:num>
  <w:num w:numId="20" w16cid:durableId="140121653">
    <w:abstractNumId w:val="5"/>
  </w:num>
  <w:num w:numId="21" w16cid:durableId="1335105209">
    <w:abstractNumId w:val="6"/>
  </w:num>
  <w:num w:numId="22" w16cid:durableId="1646160798">
    <w:abstractNumId w:val="7"/>
  </w:num>
  <w:num w:numId="23" w16cid:durableId="231240744">
    <w:abstractNumId w:val="8"/>
  </w:num>
  <w:num w:numId="24" w16cid:durableId="11877139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077"/>
    <w:rsid w:val="00036C2A"/>
    <w:rsid w:val="0005655F"/>
    <w:rsid w:val="00077FAE"/>
    <w:rsid w:val="00085BB3"/>
    <w:rsid w:val="000A26C1"/>
    <w:rsid w:val="000C7B7F"/>
    <w:rsid w:val="000D1C9C"/>
    <w:rsid w:val="000D278D"/>
    <w:rsid w:val="000D410D"/>
    <w:rsid w:val="000D6AEB"/>
    <w:rsid w:val="000F2668"/>
    <w:rsid w:val="00114D74"/>
    <w:rsid w:val="001226F9"/>
    <w:rsid w:val="00144A58"/>
    <w:rsid w:val="001674FC"/>
    <w:rsid w:val="00197300"/>
    <w:rsid w:val="001A729D"/>
    <w:rsid w:val="001B2B0B"/>
    <w:rsid w:val="001C0369"/>
    <w:rsid w:val="001C2FB0"/>
    <w:rsid w:val="001D79D5"/>
    <w:rsid w:val="001E56FC"/>
    <w:rsid w:val="002132BB"/>
    <w:rsid w:val="002234CD"/>
    <w:rsid w:val="002636AB"/>
    <w:rsid w:val="0029311D"/>
    <w:rsid w:val="002A20AD"/>
    <w:rsid w:val="002B1B7C"/>
    <w:rsid w:val="002B6431"/>
    <w:rsid w:val="002C0B32"/>
    <w:rsid w:val="002D45C4"/>
    <w:rsid w:val="002E5719"/>
    <w:rsid w:val="002F2A10"/>
    <w:rsid w:val="002F61E0"/>
    <w:rsid w:val="0032377E"/>
    <w:rsid w:val="00351CC8"/>
    <w:rsid w:val="003560F6"/>
    <w:rsid w:val="00382B00"/>
    <w:rsid w:val="0038326B"/>
    <w:rsid w:val="0039211F"/>
    <w:rsid w:val="003E4565"/>
    <w:rsid w:val="003E4830"/>
    <w:rsid w:val="00434C44"/>
    <w:rsid w:val="00441148"/>
    <w:rsid w:val="00485802"/>
    <w:rsid w:val="004A3804"/>
    <w:rsid w:val="004A3AAF"/>
    <w:rsid w:val="004F603B"/>
    <w:rsid w:val="005132E4"/>
    <w:rsid w:val="00522A56"/>
    <w:rsid w:val="00523E34"/>
    <w:rsid w:val="00532E39"/>
    <w:rsid w:val="005330A1"/>
    <w:rsid w:val="00551ADD"/>
    <w:rsid w:val="00555C34"/>
    <w:rsid w:val="0057083E"/>
    <w:rsid w:val="00572A6D"/>
    <w:rsid w:val="00580B83"/>
    <w:rsid w:val="00584D51"/>
    <w:rsid w:val="005924E5"/>
    <w:rsid w:val="005B6C05"/>
    <w:rsid w:val="005C2F4F"/>
    <w:rsid w:val="005C3879"/>
    <w:rsid w:val="005C6F2E"/>
    <w:rsid w:val="005F4E85"/>
    <w:rsid w:val="0061541A"/>
    <w:rsid w:val="00623621"/>
    <w:rsid w:val="00654CCB"/>
    <w:rsid w:val="00657F95"/>
    <w:rsid w:val="00666098"/>
    <w:rsid w:val="00675F91"/>
    <w:rsid w:val="00684F4F"/>
    <w:rsid w:val="006D3E94"/>
    <w:rsid w:val="006F66AE"/>
    <w:rsid w:val="00707A5F"/>
    <w:rsid w:val="00750A0D"/>
    <w:rsid w:val="007624CD"/>
    <w:rsid w:val="00774504"/>
    <w:rsid w:val="00790F05"/>
    <w:rsid w:val="0079220E"/>
    <w:rsid w:val="00797635"/>
    <w:rsid w:val="007B38D5"/>
    <w:rsid w:val="007C6DA4"/>
    <w:rsid w:val="007F1C0A"/>
    <w:rsid w:val="00813CD3"/>
    <w:rsid w:val="00815FAF"/>
    <w:rsid w:val="00832274"/>
    <w:rsid w:val="008913CD"/>
    <w:rsid w:val="008962DB"/>
    <w:rsid w:val="008D701F"/>
    <w:rsid w:val="008E4764"/>
    <w:rsid w:val="008F2FA0"/>
    <w:rsid w:val="008F7F7F"/>
    <w:rsid w:val="009074D0"/>
    <w:rsid w:val="009332B2"/>
    <w:rsid w:val="00951839"/>
    <w:rsid w:val="00953B0A"/>
    <w:rsid w:val="009632DD"/>
    <w:rsid w:val="00984077"/>
    <w:rsid w:val="009A3BDC"/>
    <w:rsid w:val="009A483A"/>
    <w:rsid w:val="009B13B7"/>
    <w:rsid w:val="009E1CE0"/>
    <w:rsid w:val="009F4B44"/>
    <w:rsid w:val="009F73B1"/>
    <w:rsid w:val="00A137F3"/>
    <w:rsid w:val="00A1500A"/>
    <w:rsid w:val="00A23C66"/>
    <w:rsid w:val="00A42015"/>
    <w:rsid w:val="00A46720"/>
    <w:rsid w:val="00A52B37"/>
    <w:rsid w:val="00A632D1"/>
    <w:rsid w:val="00A82571"/>
    <w:rsid w:val="00AA0AB4"/>
    <w:rsid w:val="00AA7F63"/>
    <w:rsid w:val="00AB1552"/>
    <w:rsid w:val="00AC606E"/>
    <w:rsid w:val="00AE1F67"/>
    <w:rsid w:val="00AE3B3B"/>
    <w:rsid w:val="00B016F5"/>
    <w:rsid w:val="00B81D52"/>
    <w:rsid w:val="00B90450"/>
    <w:rsid w:val="00B91840"/>
    <w:rsid w:val="00BE0AEC"/>
    <w:rsid w:val="00BE376D"/>
    <w:rsid w:val="00BE5ACD"/>
    <w:rsid w:val="00C05909"/>
    <w:rsid w:val="00C35975"/>
    <w:rsid w:val="00C52BA9"/>
    <w:rsid w:val="00C826EF"/>
    <w:rsid w:val="00C829A8"/>
    <w:rsid w:val="00C83E5C"/>
    <w:rsid w:val="00CC5159"/>
    <w:rsid w:val="00CD196A"/>
    <w:rsid w:val="00CE69FE"/>
    <w:rsid w:val="00CF4E63"/>
    <w:rsid w:val="00D2566A"/>
    <w:rsid w:val="00D27E83"/>
    <w:rsid w:val="00D34244"/>
    <w:rsid w:val="00D45510"/>
    <w:rsid w:val="00D547E2"/>
    <w:rsid w:val="00D768DF"/>
    <w:rsid w:val="00D81601"/>
    <w:rsid w:val="00D9013E"/>
    <w:rsid w:val="00D94F9F"/>
    <w:rsid w:val="00DB2608"/>
    <w:rsid w:val="00DB4F59"/>
    <w:rsid w:val="00DD096A"/>
    <w:rsid w:val="00DD7FE0"/>
    <w:rsid w:val="00E17264"/>
    <w:rsid w:val="00E231EB"/>
    <w:rsid w:val="00E438BC"/>
    <w:rsid w:val="00E52575"/>
    <w:rsid w:val="00E61176"/>
    <w:rsid w:val="00E75D21"/>
    <w:rsid w:val="00E9350C"/>
    <w:rsid w:val="00EC1453"/>
    <w:rsid w:val="00EC2512"/>
    <w:rsid w:val="00ED20A9"/>
    <w:rsid w:val="00ED32FB"/>
    <w:rsid w:val="00EE5075"/>
    <w:rsid w:val="00F24590"/>
    <w:rsid w:val="00F27AF6"/>
    <w:rsid w:val="00F30428"/>
    <w:rsid w:val="00F76DF9"/>
    <w:rsid w:val="00F82203"/>
    <w:rsid w:val="00F82E76"/>
    <w:rsid w:val="00F86352"/>
    <w:rsid w:val="00FA4202"/>
    <w:rsid w:val="00FD3345"/>
    <w:rsid w:val="00FD58F6"/>
    <w:rsid w:val="00FF35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CAE7"/>
  <w15:chartTrackingRefBased/>
  <w15:docId w15:val="{5953679D-6BD1-4263-A456-6F3F97A1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84077"/>
    <w:pPr>
      <w:keepNext/>
      <w:keepLines/>
      <w:spacing w:before="240" w:after="0"/>
      <w:jc w:val="center"/>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unhideWhenUsed/>
    <w:qFormat/>
    <w:rsid w:val="00D547E2"/>
    <w:pPr>
      <w:keepNext/>
      <w:keepLines/>
      <w:spacing w:before="40" w:after="0"/>
      <w:outlineLvl w:val="1"/>
    </w:pPr>
    <w:rPr>
      <w:rFonts w:ascii="Times New Roman" w:eastAsiaTheme="majorEastAsia" w:hAnsi="Times New Roman" w:cstheme="majorBidi"/>
      <w:b/>
      <w:sz w:val="24"/>
      <w:szCs w:val="26"/>
    </w:rPr>
  </w:style>
  <w:style w:type="paragraph" w:styleId="Ttulo3">
    <w:name w:val="heading 3"/>
    <w:basedOn w:val="Normal"/>
    <w:next w:val="Normal"/>
    <w:link w:val="Ttulo3Car"/>
    <w:uiPriority w:val="9"/>
    <w:unhideWhenUsed/>
    <w:qFormat/>
    <w:rsid w:val="00D547E2"/>
    <w:pPr>
      <w:keepNext/>
      <w:keepLines/>
      <w:spacing w:before="40" w:after="0"/>
      <w:outlineLvl w:val="2"/>
    </w:pPr>
    <w:rPr>
      <w:rFonts w:ascii="Times New Roman" w:eastAsiaTheme="majorEastAsia" w:hAnsi="Times New Roman" w:cstheme="majorBidi"/>
      <w:b/>
      <w:i/>
      <w:sz w:val="24"/>
      <w:szCs w:val="24"/>
    </w:rPr>
  </w:style>
  <w:style w:type="paragraph" w:styleId="Ttulo4">
    <w:name w:val="heading 4"/>
    <w:basedOn w:val="Normal"/>
    <w:next w:val="Normal"/>
    <w:link w:val="Ttulo4Car"/>
    <w:uiPriority w:val="9"/>
    <w:semiHidden/>
    <w:unhideWhenUsed/>
    <w:qFormat/>
    <w:rsid w:val="00BE0AE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BE0AEC"/>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BE0AEC"/>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BE0AE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BE0AE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E0AE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077"/>
    <w:rPr>
      <w:rFonts w:ascii="Times New Roman" w:eastAsiaTheme="majorEastAsia" w:hAnsi="Times New Roman" w:cstheme="majorBidi"/>
      <w:b/>
      <w:sz w:val="24"/>
      <w:szCs w:val="32"/>
    </w:rPr>
  </w:style>
  <w:style w:type="paragraph" w:styleId="Prrafodelista">
    <w:name w:val="List Paragraph"/>
    <w:aliases w:val="Titulo 3"/>
    <w:basedOn w:val="Normal"/>
    <w:link w:val="PrrafodelistaCar"/>
    <w:uiPriority w:val="34"/>
    <w:qFormat/>
    <w:rsid w:val="005C2F4F"/>
    <w:pPr>
      <w:ind w:left="720"/>
      <w:contextualSpacing/>
    </w:pPr>
  </w:style>
  <w:style w:type="character" w:customStyle="1" w:styleId="Ttulo2Car">
    <w:name w:val="Título 2 Car"/>
    <w:basedOn w:val="Fuentedeprrafopredeter"/>
    <w:link w:val="Ttulo2"/>
    <w:uiPriority w:val="9"/>
    <w:rsid w:val="00D547E2"/>
    <w:rPr>
      <w:rFonts w:ascii="Times New Roman" w:eastAsiaTheme="majorEastAsia" w:hAnsi="Times New Roman" w:cstheme="majorBidi"/>
      <w:b/>
      <w:sz w:val="24"/>
      <w:szCs w:val="26"/>
    </w:rPr>
  </w:style>
  <w:style w:type="character" w:customStyle="1" w:styleId="Ttulo3Car">
    <w:name w:val="Título 3 Car"/>
    <w:basedOn w:val="Fuentedeprrafopredeter"/>
    <w:link w:val="Ttulo3"/>
    <w:uiPriority w:val="9"/>
    <w:rsid w:val="00D547E2"/>
    <w:rPr>
      <w:rFonts w:ascii="Times New Roman" w:eastAsiaTheme="majorEastAsia" w:hAnsi="Times New Roman" w:cstheme="majorBidi"/>
      <w:b/>
      <w:i/>
      <w:sz w:val="24"/>
      <w:szCs w:val="24"/>
    </w:rPr>
  </w:style>
  <w:style w:type="paragraph" w:styleId="Descripcin">
    <w:name w:val="caption"/>
    <w:basedOn w:val="Normal"/>
    <w:next w:val="Normal"/>
    <w:uiPriority w:val="35"/>
    <w:unhideWhenUsed/>
    <w:qFormat/>
    <w:rsid w:val="00D547E2"/>
    <w:pPr>
      <w:spacing w:after="200" w:line="240" w:lineRule="auto"/>
    </w:pPr>
    <w:rPr>
      <w:rFonts w:ascii="Times New Roman" w:eastAsia="Calibri" w:hAnsi="Times New Roman" w:cs="Calibri"/>
      <w:i/>
      <w:iCs/>
      <w:color w:val="44546A" w:themeColor="text2"/>
      <w:sz w:val="18"/>
      <w:szCs w:val="18"/>
      <w:lang w:eastAsia="es-CO"/>
    </w:rPr>
  </w:style>
  <w:style w:type="table" w:styleId="Tabladelista2">
    <w:name w:val="List Table 2"/>
    <w:basedOn w:val="Tablanormal"/>
    <w:uiPriority w:val="47"/>
    <w:rsid w:val="00D547E2"/>
    <w:pPr>
      <w:spacing w:after="0" w:line="240" w:lineRule="auto"/>
    </w:pPr>
    <w:rPr>
      <w:rFonts w:ascii="Calibri" w:eastAsia="Calibri" w:hAnsi="Calibri" w:cs="Calibri"/>
    </w:rPr>
    <w:tblPr>
      <w:tblStyleRowBandSize w:val="1"/>
      <w:tblStyleColBandSize w:val="1"/>
      <w:tblInd w:w="0" w:type="nil"/>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TDC">
    <w:name w:val="TOC Heading"/>
    <w:basedOn w:val="Ttulo1"/>
    <w:next w:val="Normal"/>
    <w:uiPriority w:val="39"/>
    <w:unhideWhenUsed/>
    <w:qFormat/>
    <w:rsid w:val="00E438BC"/>
    <w:pPr>
      <w:jc w:val="left"/>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E438BC"/>
    <w:pPr>
      <w:spacing w:after="100"/>
    </w:pPr>
  </w:style>
  <w:style w:type="paragraph" w:styleId="TDC2">
    <w:name w:val="toc 2"/>
    <w:basedOn w:val="Normal"/>
    <w:next w:val="Normal"/>
    <w:autoRedefine/>
    <w:uiPriority w:val="39"/>
    <w:unhideWhenUsed/>
    <w:rsid w:val="00E438BC"/>
    <w:pPr>
      <w:spacing w:after="100"/>
      <w:ind w:left="220"/>
    </w:pPr>
  </w:style>
  <w:style w:type="paragraph" w:styleId="TDC3">
    <w:name w:val="toc 3"/>
    <w:basedOn w:val="Normal"/>
    <w:next w:val="Normal"/>
    <w:autoRedefine/>
    <w:uiPriority w:val="39"/>
    <w:unhideWhenUsed/>
    <w:rsid w:val="00E438BC"/>
    <w:pPr>
      <w:spacing w:after="100"/>
      <w:ind w:left="440"/>
    </w:pPr>
  </w:style>
  <w:style w:type="character" w:styleId="Hipervnculo">
    <w:name w:val="Hyperlink"/>
    <w:basedOn w:val="Fuentedeprrafopredeter"/>
    <w:uiPriority w:val="99"/>
    <w:unhideWhenUsed/>
    <w:rsid w:val="00E438BC"/>
    <w:rPr>
      <w:color w:val="0563C1" w:themeColor="hyperlink"/>
      <w:u w:val="single"/>
    </w:rPr>
  </w:style>
  <w:style w:type="paragraph" w:styleId="Tabladeilustraciones">
    <w:name w:val="table of figures"/>
    <w:basedOn w:val="Normal"/>
    <w:next w:val="Normal"/>
    <w:uiPriority w:val="99"/>
    <w:unhideWhenUsed/>
    <w:rsid w:val="00C83E5C"/>
    <w:pPr>
      <w:spacing w:after="0"/>
    </w:pPr>
  </w:style>
  <w:style w:type="character" w:styleId="Textodelmarcadordeposicin">
    <w:name w:val="Placeholder Text"/>
    <w:basedOn w:val="Fuentedeprrafopredeter"/>
    <w:uiPriority w:val="99"/>
    <w:semiHidden/>
    <w:rsid w:val="00BE0AEC"/>
    <w:rPr>
      <w:color w:val="808080"/>
    </w:rPr>
  </w:style>
  <w:style w:type="paragraph" w:customStyle="1" w:styleId="CitaviBibliographyEntry">
    <w:name w:val="Citavi Bibliography Entry"/>
    <w:basedOn w:val="Normal"/>
    <w:link w:val="CitaviBibliographyEntryCar"/>
    <w:uiPriority w:val="99"/>
    <w:rsid w:val="00BE0AEC"/>
    <w:pPr>
      <w:tabs>
        <w:tab w:val="left" w:pos="720"/>
      </w:tabs>
      <w:spacing w:after="0"/>
      <w:ind w:left="720" w:hanging="720"/>
    </w:pPr>
  </w:style>
  <w:style w:type="character" w:customStyle="1" w:styleId="PrrafodelistaCar">
    <w:name w:val="Párrafo de lista Car"/>
    <w:aliases w:val="Titulo 3 Car"/>
    <w:basedOn w:val="Fuentedeprrafopredeter"/>
    <w:link w:val="Prrafodelista"/>
    <w:uiPriority w:val="34"/>
    <w:rsid w:val="00BE0AEC"/>
  </w:style>
  <w:style w:type="character" w:customStyle="1" w:styleId="CitaviBibliographyEntryCar">
    <w:name w:val="Citavi Bibliography Entry Car"/>
    <w:basedOn w:val="PrrafodelistaCar"/>
    <w:link w:val="CitaviBibliographyEntry"/>
    <w:uiPriority w:val="99"/>
    <w:rsid w:val="00BE0AEC"/>
  </w:style>
  <w:style w:type="paragraph" w:customStyle="1" w:styleId="CitaviBibliographyHeading">
    <w:name w:val="Citavi Bibliography Heading"/>
    <w:basedOn w:val="Ttulo1"/>
    <w:link w:val="CitaviBibliographyHeadingCar"/>
    <w:uiPriority w:val="99"/>
    <w:rsid w:val="00BE0AEC"/>
    <w:pPr>
      <w:jc w:val="left"/>
    </w:pPr>
  </w:style>
  <w:style w:type="character" w:customStyle="1" w:styleId="CitaviBibliographyHeadingCar">
    <w:name w:val="Citavi Bibliography Heading Car"/>
    <w:basedOn w:val="PrrafodelistaCar"/>
    <w:link w:val="CitaviBibliographyHeading"/>
    <w:uiPriority w:val="99"/>
    <w:rsid w:val="00BE0AEC"/>
    <w:rPr>
      <w:rFonts w:ascii="Times New Roman" w:eastAsiaTheme="majorEastAsia" w:hAnsi="Times New Roman" w:cstheme="majorBidi"/>
      <w:b/>
      <w:sz w:val="24"/>
      <w:szCs w:val="32"/>
    </w:rPr>
  </w:style>
  <w:style w:type="paragraph" w:customStyle="1" w:styleId="CitaviChapterBibliographyHeading">
    <w:name w:val="Citavi Chapter Bibliography Heading"/>
    <w:basedOn w:val="Ttulo2"/>
    <w:link w:val="CitaviChapterBibliographyHeadingCar"/>
    <w:uiPriority w:val="99"/>
    <w:rsid w:val="00BE0AEC"/>
  </w:style>
  <w:style w:type="character" w:customStyle="1" w:styleId="CitaviChapterBibliographyHeadingCar">
    <w:name w:val="Citavi Chapter Bibliography Heading Car"/>
    <w:basedOn w:val="PrrafodelistaCar"/>
    <w:link w:val="CitaviChapterBibliographyHeading"/>
    <w:uiPriority w:val="99"/>
    <w:rsid w:val="00BE0AEC"/>
    <w:rPr>
      <w:rFonts w:ascii="Times New Roman" w:eastAsiaTheme="majorEastAsia" w:hAnsi="Times New Roman" w:cstheme="majorBidi"/>
      <w:b/>
      <w:sz w:val="24"/>
      <w:szCs w:val="26"/>
    </w:rPr>
  </w:style>
  <w:style w:type="paragraph" w:customStyle="1" w:styleId="CitaviBibliographySubheading1">
    <w:name w:val="Citavi Bibliography Subheading 1"/>
    <w:basedOn w:val="Ttulo2"/>
    <w:link w:val="CitaviBibliographySubheading1Car"/>
    <w:uiPriority w:val="99"/>
    <w:rsid w:val="00BE0AEC"/>
    <w:pPr>
      <w:spacing w:line="360" w:lineRule="auto"/>
      <w:ind w:firstLine="709"/>
      <w:outlineLvl w:val="9"/>
    </w:pPr>
    <w:rPr>
      <w:rFonts w:cs="Times New Roman"/>
      <w:szCs w:val="24"/>
    </w:rPr>
  </w:style>
  <w:style w:type="character" w:customStyle="1" w:styleId="CitaviBibliographySubheading1Car">
    <w:name w:val="Citavi Bibliography Subheading 1 Car"/>
    <w:basedOn w:val="PrrafodelistaCar"/>
    <w:link w:val="CitaviBibliographySubheading1"/>
    <w:uiPriority w:val="99"/>
    <w:rsid w:val="00BE0AEC"/>
    <w:rPr>
      <w:rFonts w:ascii="Times New Roman" w:eastAsiaTheme="majorEastAsia" w:hAnsi="Times New Roman" w:cs="Times New Roman"/>
      <w:b/>
      <w:sz w:val="24"/>
      <w:szCs w:val="24"/>
    </w:rPr>
  </w:style>
  <w:style w:type="paragraph" w:customStyle="1" w:styleId="CitaviBibliographySubheading2">
    <w:name w:val="Citavi Bibliography Subheading 2"/>
    <w:basedOn w:val="Ttulo3"/>
    <w:link w:val="CitaviBibliographySubheading2Car"/>
    <w:uiPriority w:val="99"/>
    <w:rsid w:val="00BE0AEC"/>
    <w:pPr>
      <w:spacing w:line="360" w:lineRule="auto"/>
      <w:ind w:firstLine="709"/>
      <w:outlineLvl w:val="9"/>
    </w:pPr>
    <w:rPr>
      <w:rFonts w:cs="Times New Roman"/>
    </w:rPr>
  </w:style>
  <w:style w:type="character" w:customStyle="1" w:styleId="CitaviBibliographySubheading2Car">
    <w:name w:val="Citavi Bibliography Subheading 2 Car"/>
    <w:basedOn w:val="PrrafodelistaCar"/>
    <w:link w:val="CitaviBibliographySubheading2"/>
    <w:uiPriority w:val="99"/>
    <w:rsid w:val="00BE0AEC"/>
    <w:rPr>
      <w:rFonts w:ascii="Times New Roman" w:eastAsiaTheme="majorEastAsia" w:hAnsi="Times New Roman" w:cs="Times New Roman"/>
      <w:b/>
      <w:i/>
      <w:sz w:val="24"/>
      <w:szCs w:val="24"/>
    </w:rPr>
  </w:style>
  <w:style w:type="paragraph" w:customStyle="1" w:styleId="CitaviBibliographySubheading3">
    <w:name w:val="Citavi Bibliography Subheading 3"/>
    <w:basedOn w:val="Ttulo4"/>
    <w:link w:val="CitaviBibliographySubheading3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3Car">
    <w:name w:val="Citavi Bibliography Subheading 3 Car"/>
    <w:basedOn w:val="PrrafodelistaCar"/>
    <w:link w:val="CitaviBibliographySubheading3"/>
    <w:uiPriority w:val="99"/>
    <w:rsid w:val="00BE0AEC"/>
    <w:rPr>
      <w:rFonts w:ascii="Times New Roman" w:eastAsiaTheme="majorEastAsia" w:hAnsi="Times New Roman" w:cs="Times New Roman"/>
      <w:i/>
      <w:iCs/>
      <w:color w:val="2F5496" w:themeColor="accent1" w:themeShade="BF"/>
      <w:sz w:val="24"/>
      <w:szCs w:val="24"/>
    </w:rPr>
  </w:style>
  <w:style w:type="character" w:customStyle="1" w:styleId="Ttulo4Car">
    <w:name w:val="Título 4 Car"/>
    <w:basedOn w:val="Fuentedeprrafopredeter"/>
    <w:link w:val="Ttulo4"/>
    <w:uiPriority w:val="9"/>
    <w:semiHidden/>
    <w:rsid w:val="00BE0AEC"/>
    <w:rPr>
      <w:rFonts w:asciiTheme="majorHAnsi" w:eastAsiaTheme="majorEastAsia" w:hAnsiTheme="majorHAnsi" w:cstheme="majorBidi"/>
      <w:i/>
      <w:iCs/>
      <w:color w:val="2F5496" w:themeColor="accent1" w:themeShade="BF"/>
    </w:rPr>
  </w:style>
  <w:style w:type="paragraph" w:customStyle="1" w:styleId="CitaviBibliographySubheading4">
    <w:name w:val="Citavi Bibliography Subheading 4"/>
    <w:basedOn w:val="Ttulo5"/>
    <w:link w:val="CitaviBibliographySubheading4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4Car">
    <w:name w:val="Citavi Bibliography Subheading 4 Car"/>
    <w:basedOn w:val="PrrafodelistaCar"/>
    <w:link w:val="CitaviBibliographySubheading4"/>
    <w:uiPriority w:val="99"/>
    <w:rsid w:val="00BE0AEC"/>
    <w:rPr>
      <w:rFonts w:ascii="Times New Roman" w:eastAsiaTheme="majorEastAsia" w:hAnsi="Times New Roman" w:cs="Times New Roman"/>
      <w:color w:val="2F5496" w:themeColor="accent1" w:themeShade="BF"/>
      <w:sz w:val="24"/>
      <w:szCs w:val="24"/>
    </w:rPr>
  </w:style>
  <w:style w:type="character" w:customStyle="1" w:styleId="Ttulo5Car">
    <w:name w:val="Título 5 Car"/>
    <w:basedOn w:val="Fuentedeprrafopredeter"/>
    <w:link w:val="Ttulo5"/>
    <w:uiPriority w:val="9"/>
    <w:semiHidden/>
    <w:rsid w:val="00BE0AEC"/>
    <w:rPr>
      <w:rFonts w:asciiTheme="majorHAnsi" w:eastAsiaTheme="majorEastAsia" w:hAnsiTheme="majorHAnsi" w:cstheme="majorBidi"/>
      <w:color w:val="2F5496" w:themeColor="accent1" w:themeShade="BF"/>
    </w:rPr>
  </w:style>
  <w:style w:type="paragraph" w:customStyle="1" w:styleId="CitaviBibliographySubheading5">
    <w:name w:val="Citavi Bibliography Subheading 5"/>
    <w:basedOn w:val="Ttulo6"/>
    <w:link w:val="CitaviBibliographySubheading5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5Car">
    <w:name w:val="Citavi Bibliography Subheading 5 Car"/>
    <w:basedOn w:val="PrrafodelistaCar"/>
    <w:link w:val="CitaviBibliographySubheading5"/>
    <w:uiPriority w:val="99"/>
    <w:rsid w:val="00BE0AEC"/>
    <w:rPr>
      <w:rFonts w:ascii="Times New Roman" w:eastAsiaTheme="majorEastAsia" w:hAnsi="Times New Roman" w:cs="Times New Roman"/>
      <w:color w:val="1F3763" w:themeColor="accent1" w:themeShade="7F"/>
      <w:sz w:val="24"/>
      <w:szCs w:val="24"/>
    </w:rPr>
  </w:style>
  <w:style w:type="character" w:customStyle="1" w:styleId="Ttulo6Car">
    <w:name w:val="Título 6 Car"/>
    <w:basedOn w:val="Fuentedeprrafopredeter"/>
    <w:link w:val="Ttulo6"/>
    <w:uiPriority w:val="9"/>
    <w:semiHidden/>
    <w:rsid w:val="00BE0AEC"/>
    <w:rPr>
      <w:rFonts w:asciiTheme="majorHAnsi" w:eastAsiaTheme="majorEastAsia" w:hAnsiTheme="majorHAnsi" w:cstheme="majorBidi"/>
      <w:color w:val="1F3763" w:themeColor="accent1" w:themeShade="7F"/>
    </w:rPr>
  </w:style>
  <w:style w:type="paragraph" w:customStyle="1" w:styleId="CitaviBibliographySubheading6">
    <w:name w:val="Citavi Bibliography Subheading 6"/>
    <w:basedOn w:val="Ttulo7"/>
    <w:link w:val="CitaviBibliographySubheading6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6Car">
    <w:name w:val="Citavi Bibliography Subheading 6 Car"/>
    <w:basedOn w:val="PrrafodelistaCar"/>
    <w:link w:val="CitaviBibliographySubheading6"/>
    <w:uiPriority w:val="99"/>
    <w:rsid w:val="00BE0AEC"/>
    <w:rPr>
      <w:rFonts w:ascii="Times New Roman" w:eastAsiaTheme="majorEastAsia" w:hAnsi="Times New Roman" w:cs="Times New Roman"/>
      <w:i/>
      <w:iCs/>
      <w:color w:val="1F3763" w:themeColor="accent1" w:themeShade="7F"/>
      <w:sz w:val="24"/>
      <w:szCs w:val="24"/>
    </w:rPr>
  </w:style>
  <w:style w:type="character" w:customStyle="1" w:styleId="Ttulo7Car">
    <w:name w:val="Título 7 Car"/>
    <w:basedOn w:val="Fuentedeprrafopredeter"/>
    <w:link w:val="Ttulo7"/>
    <w:uiPriority w:val="9"/>
    <w:semiHidden/>
    <w:rsid w:val="00BE0AEC"/>
    <w:rPr>
      <w:rFonts w:asciiTheme="majorHAnsi" w:eastAsiaTheme="majorEastAsia" w:hAnsiTheme="majorHAnsi" w:cstheme="majorBidi"/>
      <w:i/>
      <w:iCs/>
      <w:color w:val="1F3763" w:themeColor="accent1" w:themeShade="7F"/>
    </w:rPr>
  </w:style>
  <w:style w:type="paragraph" w:customStyle="1" w:styleId="CitaviBibliographySubheading7">
    <w:name w:val="Citavi Bibliography Subheading 7"/>
    <w:basedOn w:val="Ttulo8"/>
    <w:link w:val="CitaviBibliographySubheading7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7Car">
    <w:name w:val="Citavi Bibliography Subheading 7 Car"/>
    <w:basedOn w:val="PrrafodelistaCar"/>
    <w:link w:val="CitaviBibliographySubheading7"/>
    <w:uiPriority w:val="99"/>
    <w:rsid w:val="00BE0AEC"/>
    <w:rPr>
      <w:rFonts w:ascii="Times New Roman" w:eastAsiaTheme="majorEastAsia" w:hAnsi="Times New Roman" w:cs="Times New Roman"/>
      <w:color w:val="272727" w:themeColor="text1" w:themeTint="D8"/>
      <w:sz w:val="24"/>
      <w:szCs w:val="24"/>
    </w:rPr>
  </w:style>
  <w:style w:type="character" w:customStyle="1" w:styleId="Ttulo8Car">
    <w:name w:val="Título 8 Car"/>
    <w:basedOn w:val="Fuentedeprrafopredeter"/>
    <w:link w:val="Ttulo8"/>
    <w:uiPriority w:val="9"/>
    <w:semiHidden/>
    <w:rsid w:val="00BE0AEC"/>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Ttulo9"/>
    <w:link w:val="CitaviBibliographySubheading8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8Car">
    <w:name w:val="Citavi Bibliography Subheading 8 Car"/>
    <w:basedOn w:val="PrrafodelistaCar"/>
    <w:link w:val="CitaviBibliographySubheading8"/>
    <w:uiPriority w:val="99"/>
    <w:rsid w:val="00BE0AEC"/>
    <w:rPr>
      <w:rFonts w:ascii="Times New Roman" w:eastAsiaTheme="majorEastAsia" w:hAnsi="Times New Roman" w:cs="Times New Roman"/>
      <w:i/>
      <w:iCs/>
      <w:color w:val="272727" w:themeColor="text1" w:themeTint="D8"/>
      <w:sz w:val="24"/>
      <w:szCs w:val="24"/>
    </w:rPr>
  </w:style>
  <w:style w:type="character" w:customStyle="1" w:styleId="Ttulo9Car">
    <w:name w:val="Título 9 Car"/>
    <w:basedOn w:val="Fuentedeprrafopredeter"/>
    <w:link w:val="Ttulo9"/>
    <w:uiPriority w:val="9"/>
    <w:semiHidden/>
    <w:rsid w:val="00BE0AEC"/>
    <w:rPr>
      <w:rFonts w:asciiTheme="majorHAnsi" w:eastAsiaTheme="majorEastAsia" w:hAnsiTheme="majorHAnsi" w:cstheme="majorBidi"/>
      <w:i/>
      <w:iCs/>
      <w:color w:val="272727" w:themeColor="text1" w:themeTint="D8"/>
      <w:sz w:val="21"/>
      <w:szCs w:val="21"/>
    </w:rPr>
  </w:style>
  <w:style w:type="paragraph" w:styleId="Sinespaciado">
    <w:name w:val="No Spacing"/>
    <w:aliases w:val="Referencias"/>
    <w:uiPriority w:val="1"/>
    <w:qFormat/>
    <w:rsid w:val="00DD096A"/>
    <w:pPr>
      <w:spacing w:after="0" w:line="240" w:lineRule="auto"/>
    </w:pPr>
  </w:style>
  <w:style w:type="table" w:customStyle="1" w:styleId="Tablanormal21">
    <w:name w:val="Tabla normal 21"/>
    <w:basedOn w:val="Tablanormal"/>
    <w:next w:val="Tablanormal2"/>
    <w:uiPriority w:val="42"/>
    <w:rsid w:val="00DD096A"/>
    <w:pPr>
      <w:spacing w:after="0" w:line="240" w:lineRule="auto"/>
    </w:pPr>
    <w:rPr>
      <w:rFonts w:ascii="Calibri" w:eastAsia="Calibri" w:hAnsi="Calibri" w:cs="Arial"/>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anormal2">
    <w:name w:val="Plain Table 2"/>
    <w:basedOn w:val="Tablanormal"/>
    <w:uiPriority w:val="42"/>
    <w:rsid w:val="00DD096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4">
    <w:name w:val="Plain Table 4"/>
    <w:basedOn w:val="Tablanormal"/>
    <w:uiPriority w:val="44"/>
    <w:rsid w:val="008962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cabezado">
    <w:name w:val="header"/>
    <w:basedOn w:val="Normal"/>
    <w:link w:val="EncabezadoCar"/>
    <w:uiPriority w:val="99"/>
    <w:unhideWhenUsed/>
    <w:rsid w:val="0032377E"/>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2377E"/>
  </w:style>
  <w:style w:type="paragraph" w:styleId="Piedepgina">
    <w:name w:val="footer"/>
    <w:basedOn w:val="Normal"/>
    <w:link w:val="PiedepginaCar"/>
    <w:uiPriority w:val="99"/>
    <w:unhideWhenUsed/>
    <w:rsid w:val="0032377E"/>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32377E"/>
  </w:style>
  <w:style w:type="paragraph" w:styleId="Bibliografa">
    <w:name w:val="Bibliography"/>
    <w:basedOn w:val="Normal"/>
    <w:next w:val="Normal"/>
    <w:uiPriority w:val="37"/>
    <w:semiHidden/>
    <w:unhideWhenUsed/>
    <w:rsid w:val="00A42015"/>
  </w:style>
  <w:style w:type="character" w:styleId="Ttulodellibro">
    <w:name w:val="Book Title"/>
    <w:basedOn w:val="Fuentedeprrafopredeter"/>
    <w:uiPriority w:val="33"/>
    <w:qFormat/>
    <w:rsid w:val="00A42015"/>
    <w:rPr>
      <w:b/>
      <w:bCs/>
      <w:i/>
      <w:iCs/>
      <w:spacing w:val="5"/>
    </w:rPr>
  </w:style>
  <w:style w:type="character" w:styleId="Referenciaintensa">
    <w:name w:val="Intense Reference"/>
    <w:basedOn w:val="Fuentedeprrafopredeter"/>
    <w:uiPriority w:val="32"/>
    <w:qFormat/>
    <w:rsid w:val="00A42015"/>
    <w:rPr>
      <w:b/>
      <w:bCs/>
      <w:smallCaps/>
      <w:color w:val="4472C4" w:themeColor="accent1"/>
      <w:spacing w:val="5"/>
    </w:rPr>
  </w:style>
  <w:style w:type="character" w:styleId="Referenciasutil">
    <w:name w:val="Subtle Reference"/>
    <w:basedOn w:val="Fuentedeprrafopredeter"/>
    <w:uiPriority w:val="31"/>
    <w:qFormat/>
    <w:rsid w:val="00A42015"/>
    <w:rPr>
      <w:smallCaps/>
      <w:color w:val="5A5A5A" w:themeColor="text1" w:themeTint="A5"/>
    </w:rPr>
  </w:style>
  <w:style w:type="character" w:styleId="nfasisintenso">
    <w:name w:val="Intense Emphasis"/>
    <w:basedOn w:val="Fuentedeprrafopredeter"/>
    <w:uiPriority w:val="21"/>
    <w:qFormat/>
    <w:rsid w:val="00A42015"/>
    <w:rPr>
      <w:i/>
      <w:iCs/>
      <w:color w:val="4472C4" w:themeColor="accent1"/>
    </w:rPr>
  </w:style>
  <w:style w:type="character" w:styleId="nfasissutil">
    <w:name w:val="Subtle Emphasis"/>
    <w:basedOn w:val="Fuentedeprrafopredeter"/>
    <w:uiPriority w:val="19"/>
    <w:qFormat/>
    <w:rsid w:val="00A42015"/>
    <w:rPr>
      <w:i/>
      <w:iCs/>
      <w:color w:val="404040" w:themeColor="text1" w:themeTint="BF"/>
    </w:rPr>
  </w:style>
  <w:style w:type="paragraph" w:styleId="Citadestacada">
    <w:name w:val="Intense Quote"/>
    <w:basedOn w:val="Normal"/>
    <w:next w:val="Normal"/>
    <w:link w:val="CitadestacadaCar"/>
    <w:uiPriority w:val="30"/>
    <w:qFormat/>
    <w:rsid w:val="00A4201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A42015"/>
    <w:rPr>
      <w:i/>
      <w:iCs/>
      <w:color w:val="4472C4" w:themeColor="accent1"/>
    </w:rPr>
  </w:style>
  <w:style w:type="paragraph" w:styleId="Cita">
    <w:name w:val="Quote"/>
    <w:basedOn w:val="Normal"/>
    <w:next w:val="Normal"/>
    <w:link w:val="CitaCar"/>
    <w:uiPriority w:val="29"/>
    <w:qFormat/>
    <w:rsid w:val="00A42015"/>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A42015"/>
    <w:rPr>
      <w:i/>
      <w:iCs/>
      <w:color w:val="404040" w:themeColor="text1" w:themeTint="BF"/>
    </w:rPr>
  </w:style>
  <w:style w:type="table" w:styleId="Listamedia1-nfasis1">
    <w:name w:val="Medium List 1 Accent 1"/>
    <w:basedOn w:val="Tablanormal"/>
    <w:uiPriority w:val="65"/>
    <w:semiHidden/>
    <w:unhideWhenUsed/>
    <w:rsid w:val="00A42015"/>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ombreadomedio2-nfasis1">
    <w:name w:val="Medium Shading 2 Accent 1"/>
    <w:basedOn w:val="Tablanormal"/>
    <w:uiPriority w:val="64"/>
    <w:semiHidden/>
    <w:unhideWhenUsed/>
    <w:rsid w:val="00A420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1-nfasis1">
    <w:name w:val="Medium Shading 1 Accent 1"/>
    <w:basedOn w:val="Tablanormal"/>
    <w:uiPriority w:val="63"/>
    <w:semiHidden/>
    <w:unhideWhenUsed/>
    <w:rsid w:val="00A42015"/>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semiHidden/>
    <w:unhideWhenUsed/>
    <w:rsid w:val="00A42015"/>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staclara-nfasis1">
    <w:name w:val="Light List Accent 1"/>
    <w:basedOn w:val="Tablanormal"/>
    <w:uiPriority w:val="61"/>
    <w:semiHidden/>
    <w:unhideWhenUsed/>
    <w:rsid w:val="00A42015"/>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ombreadoclaro-nfasis1">
    <w:name w:val="Light Shading Accent 1"/>
    <w:basedOn w:val="Tablanormal"/>
    <w:uiPriority w:val="60"/>
    <w:semiHidden/>
    <w:unhideWhenUsed/>
    <w:rsid w:val="00A42015"/>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Cuadrculavistosa">
    <w:name w:val="Colorful Grid"/>
    <w:basedOn w:val="Tablanormal"/>
    <w:uiPriority w:val="73"/>
    <w:semiHidden/>
    <w:unhideWhenUsed/>
    <w:rsid w:val="00A4201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tavistosa">
    <w:name w:val="Colorful List"/>
    <w:basedOn w:val="Tablanormal"/>
    <w:uiPriority w:val="72"/>
    <w:semiHidden/>
    <w:unhideWhenUsed/>
    <w:rsid w:val="00A4201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ombreadovistoso">
    <w:name w:val="Colorful Shading"/>
    <w:basedOn w:val="Tablanormal"/>
    <w:uiPriority w:val="71"/>
    <w:semiHidden/>
    <w:unhideWhenUsed/>
    <w:rsid w:val="00A42015"/>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istaoscura">
    <w:name w:val="Dark List"/>
    <w:basedOn w:val="Tablanormal"/>
    <w:uiPriority w:val="70"/>
    <w:semiHidden/>
    <w:unhideWhenUsed/>
    <w:rsid w:val="00A4201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uadrculamedia3">
    <w:name w:val="Medium Grid 3"/>
    <w:basedOn w:val="Tablanormal"/>
    <w:uiPriority w:val="69"/>
    <w:semiHidden/>
    <w:unhideWhenUsed/>
    <w:rsid w:val="00A4201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2">
    <w:name w:val="Medium Grid 2"/>
    <w:basedOn w:val="Tablanormal"/>
    <w:uiPriority w:val="68"/>
    <w:semiHidden/>
    <w:unhideWhenUsed/>
    <w:rsid w:val="00A4201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1">
    <w:name w:val="Medium Grid 1"/>
    <w:basedOn w:val="Tablanormal"/>
    <w:uiPriority w:val="67"/>
    <w:semiHidden/>
    <w:unhideWhenUsed/>
    <w:rsid w:val="00A4201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tamedia2">
    <w:name w:val="Medium List 2"/>
    <w:basedOn w:val="Tablanormal"/>
    <w:uiPriority w:val="66"/>
    <w:semiHidden/>
    <w:unhideWhenUsed/>
    <w:rsid w:val="00A4201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
    <w:name w:val="Medium List 1"/>
    <w:basedOn w:val="Tablanormal"/>
    <w:uiPriority w:val="65"/>
    <w:semiHidden/>
    <w:unhideWhenUsed/>
    <w:rsid w:val="00A4201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ombreadomedio2">
    <w:name w:val="Medium Shading 2"/>
    <w:basedOn w:val="Tablanormal"/>
    <w:uiPriority w:val="64"/>
    <w:semiHidden/>
    <w:unhideWhenUsed/>
    <w:rsid w:val="00A4201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1">
    <w:name w:val="Medium Shading 1"/>
    <w:basedOn w:val="Tablanormal"/>
    <w:uiPriority w:val="63"/>
    <w:semiHidden/>
    <w:unhideWhenUsed/>
    <w:rsid w:val="00A4201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Cuadrculaclara">
    <w:name w:val="Light Grid"/>
    <w:basedOn w:val="Tablanormal"/>
    <w:uiPriority w:val="62"/>
    <w:semiHidden/>
    <w:unhideWhenUsed/>
    <w:rsid w:val="00A420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
    <w:name w:val="Light List"/>
    <w:basedOn w:val="Tablanormal"/>
    <w:uiPriority w:val="61"/>
    <w:semiHidden/>
    <w:unhideWhenUsed/>
    <w:rsid w:val="00A420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ombreadoclaro">
    <w:name w:val="Light Shading"/>
    <w:basedOn w:val="Tablanormal"/>
    <w:uiPriority w:val="60"/>
    <w:semiHidden/>
    <w:unhideWhenUsed/>
    <w:rsid w:val="00A4201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VariableHTML">
    <w:name w:val="HTML Variable"/>
    <w:basedOn w:val="Fuentedeprrafopredeter"/>
    <w:uiPriority w:val="99"/>
    <w:semiHidden/>
    <w:unhideWhenUsed/>
    <w:rsid w:val="00A42015"/>
    <w:rPr>
      <w:i/>
      <w:iCs/>
    </w:rPr>
  </w:style>
  <w:style w:type="character" w:styleId="MquinadeescribirHTML">
    <w:name w:val="HTML Typewriter"/>
    <w:basedOn w:val="Fuentedeprrafopredeter"/>
    <w:uiPriority w:val="99"/>
    <w:semiHidden/>
    <w:unhideWhenUsed/>
    <w:rsid w:val="00A42015"/>
    <w:rPr>
      <w:rFonts w:ascii="Consolas" w:hAnsi="Consolas"/>
      <w:sz w:val="20"/>
      <w:szCs w:val="20"/>
    </w:rPr>
  </w:style>
  <w:style w:type="character" w:styleId="EjemplodeHTML">
    <w:name w:val="HTML Sample"/>
    <w:basedOn w:val="Fuentedeprrafopredeter"/>
    <w:uiPriority w:val="99"/>
    <w:semiHidden/>
    <w:unhideWhenUsed/>
    <w:rsid w:val="00A42015"/>
    <w:rPr>
      <w:rFonts w:ascii="Consolas" w:hAnsi="Consolas"/>
      <w:sz w:val="24"/>
      <w:szCs w:val="24"/>
    </w:rPr>
  </w:style>
  <w:style w:type="paragraph" w:styleId="HTMLconformatoprevio">
    <w:name w:val="HTML Preformatted"/>
    <w:basedOn w:val="Normal"/>
    <w:link w:val="HTMLconformatoprevioCar"/>
    <w:uiPriority w:val="99"/>
    <w:semiHidden/>
    <w:unhideWhenUsed/>
    <w:rsid w:val="00A42015"/>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A42015"/>
    <w:rPr>
      <w:rFonts w:ascii="Consolas" w:hAnsi="Consolas"/>
      <w:sz w:val="20"/>
      <w:szCs w:val="20"/>
    </w:rPr>
  </w:style>
  <w:style w:type="character" w:styleId="TecladoHTML">
    <w:name w:val="HTML Keyboard"/>
    <w:basedOn w:val="Fuentedeprrafopredeter"/>
    <w:uiPriority w:val="99"/>
    <w:semiHidden/>
    <w:unhideWhenUsed/>
    <w:rsid w:val="00A42015"/>
    <w:rPr>
      <w:rFonts w:ascii="Consolas" w:hAnsi="Consolas"/>
      <w:sz w:val="20"/>
      <w:szCs w:val="20"/>
    </w:rPr>
  </w:style>
  <w:style w:type="character" w:styleId="DefinicinHTML">
    <w:name w:val="HTML Definition"/>
    <w:basedOn w:val="Fuentedeprrafopredeter"/>
    <w:uiPriority w:val="99"/>
    <w:semiHidden/>
    <w:unhideWhenUsed/>
    <w:rsid w:val="00A42015"/>
    <w:rPr>
      <w:i/>
      <w:iCs/>
    </w:rPr>
  </w:style>
  <w:style w:type="character" w:styleId="CdigoHTML">
    <w:name w:val="HTML Code"/>
    <w:basedOn w:val="Fuentedeprrafopredeter"/>
    <w:uiPriority w:val="99"/>
    <w:semiHidden/>
    <w:unhideWhenUsed/>
    <w:rsid w:val="00A42015"/>
    <w:rPr>
      <w:rFonts w:ascii="Consolas" w:hAnsi="Consolas"/>
      <w:sz w:val="20"/>
      <w:szCs w:val="20"/>
    </w:rPr>
  </w:style>
  <w:style w:type="character" w:styleId="CitaHTML">
    <w:name w:val="HTML Cite"/>
    <w:basedOn w:val="Fuentedeprrafopredeter"/>
    <w:uiPriority w:val="99"/>
    <w:semiHidden/>
    <w:unhideWhenUsed/>
    <w:rsid w:val="00A42015"/>
    <w:rPr>
      <w:i/>
      <w:iCs/>
    </w:rPr>
  </w:style>
  <w:style w:type="paragraph" w:styleId="DireccinHTML">
    <w:name w:val="HTML Address"/>
    <w:basedOn w:val="Normal"/>
    <w:link w:val="DireccinHTMLCar"/>
    <w:uiPriority w:val="99"/>
    <w:semiHidden/>
    <w:unhideWhenUsed/>
    <w:rsid w:val="00A42015"/>
    <w:pPr>
      <w:spacing w:after="0" w:line="240" w:lineRule="auto"/>
    </w:pPr>
    <w:rPr>
      <w:i/>
      <w:iCs/>
    </w:rPr>
  </w:style>
  <w:style w:type="character" w:customStyle="1" w:styleId="DireccinHTMLCar">
    <w:name w:val="Dirección HTML Car"/>
    <w:basedOn w:val="Fuentedeprrafopredeter"/>
    <w:link w:val="DireccinHTML"/>
    <w:uiPriority w:val="99"/>
    <w:semiHidden/>
    <w:rsid w:val="00A42015"/>
    <w:rPr>
      <w:i/>
      <w:iCs/>
    </w:rPr>
  </w:style>
  <w:style w:type="character" w:styleId="AcrnimoHTML">
    <w:name w:val="HTML Acronym"/>
    <w:basedOn w:val="Fuentedeprrafopredeter"/>
    <w:uiPriority w:val="99"/>
    <w:semiHidden/>
    <w:unhideWhenUsed/>
    <w:rsid w:val="00A42015"/>
  </w:style>
  <w:style w:type="paragraph" w:styleId="NormalWeb">
    <w:name w:val="Normal (Web)"/>
    <w:basedOn w:val="Normal"/>
    <w:uiPriority w:val="99"/>
    <w:semiHidden/>
    <w:unhideWhenUsed/>
    <w:rsid w:val="00A42015"/>
    <w:rPr>
      <w:rFonts w:ascii="Times New Roman" w:hAnsi="Times New Roman" w:cs="Times New Roman"/>
      <w:sz w:val="24"/>
      <w:szCs w:val="24"/>
    </w:rPr>
  </w:style>
  <w:style w:type="paragraph" w:styleId="Textosinformato">
    <w:name w:val="Plain Text"/>
    <w:basedOn w:val="Normal"/>
    <w:link w:val="TextosinformatoCar"/>
    <w:uiPriority w:val="99"/>
    <w:semiHidden/>
    <w:unhideWhenUsed/>
    <w:rsid w:val="00A42015"/>
    <w:pPr>
      <w:spacing w:after="0" w:line="240" w:lineRule="auto"/>
    </w:pPr>
    <w:rPr>
      <w:rFonts w:ascii="Consolas" w:hAnsi="Consolas"/>
      <w:sz w:val="21"/>
      <w:szCs w:val="21"/>
    </w:rPr>
  </w:style>
  <w:style w:type="character" w:customStyle="1" w:styleId="TextosinformatoCar">
    <w:name w:val="Texto sin formato Car"/>
    <w:basedOn w:val="Fuentedeprrafopredeter"/>
    <w:link w:val="Textosinformato"/>
    <w:uiPriority w:val="99"/>
    <w:semiHidden/>
    <w:rsid w:val="00A42015"/>
    <w:rPr>
      <w:rFonts w:ascii="Consolas" w:hAnsi="Consolas"/>
      <w:sz w:val="21"/>
      <w:szCs w:val="21"/>
    </w:rPr>
  </w:style>
  <w:style w:type="paragraph" w:styleId="Mapadeldocumento">
    <w:name w:val="Document Map"/>
    <w:basedOn w:val="Normal"/>
    <w:link w:val="MapadeldocumentoCar"/>
    <w:uiPriority w:val="99"/>
    <w:semiHidden/>
    <w:unhideWhenUsed/>
    <w:rsid w:val="00A42015"/>
    <w:pPr>
      <w:spacing w:after="0" w:line="240" w:lineRule="auto"/>
    </w:pPr>
    <w:rPr>
      <w:rFonts w:ascii="Segoe UI" w:hAnsi="Segoe UI" w:cs="Segoe UI"/>
      <w:sz w:val="16"/>
      <w:szCs w:val="16"/>
    </w:rPr>
  </w:style>
  <w:style w:type="character" w:customStyle="1" w:styleId="MapadeldocumentoCar">
    <w:name w:val="Mapa del documento Car"/>
    <w:basedOn w:val="Fuentedeprrafopredeter"/>
    <w:link w:val="Mapadeldocumento"/>
    <w:uiPriority w:val="99"/>
    <w:semiHidden/>
    <w:rsid w:val="00A42015"/>
    <w:rPr>
      <w:rFonts w:ascii="Segoe UI" w:hAnsi="Segoe UI" w:cs="Segoe UI"/>
      <w:sz w:val="16"/>
      <w:szCs w:val="16"/>
    </w:rPr>
  </w:style>
  <w:style w:type="character" w:styleId="nfasis">
    <w:name w:val="Emphasis"/>
    <w:basedOn w:val="Fuentedeprrafopredeter"/>
    <w:uiPriority w:val="20"/>
    <w:qFormat/>
    <w:rsid w:val="00A42015"/>
    <w:rPr>
      <w:i/>
      <w:iCs/>
    </w:rPr>
  </w:style>
  <w:style w:type="character" w:styleId="Textoennegrita">
    <w:name w:val="Strong"/>
    <w:basedOn w:val="Fuentedeprrafopredeter"/>
    <w:uiPriority w:val="22"/>
    <w:qFormat/>
    <w:rsid w:val="00A42015"/>
    <w:rPr>
      <w:b/>
      <w:bCs/>
    </w:rPr>
  </w:style>
  <w:style w:type="character" w:styleId="Hipervnculovisitado">
    <w:name w:val="FollowedHyperlink"/>
    <w:basedOn w:val="Fuentedeprrafopredeter"/>
    <w:uiPriority w:val="99"/>
    <w:semiHidden/>
    <w:unhideWhenUsed/>
    <w:rsid w:val="00A42015"/>
    <w:rPr>
      <w:color w:val="954F72" w:themeColor="followedHyperlink"/>
      <w:u w:val="single"/>
    </w:rPr>
  </w:style>
  <w:style w:type="paragraph" w:styleId="Textodebloque">
    <w:name w:val="Block Text"/>
    <w:basedOn w:val="Normal"/>
    <w:uiPriority w:val="99"/>
    <w:semiHidden/>
    <w:unhideWhenUsed/>
    <w:rsid w:val="00A420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Sangra3detindependiente">
    <w:name w:val="Body Text Indent 3"/>
    <w:basedOn w:val="Normal"/>
    <w:link w:val="Sangra3detindependienteCar"/>
    <w:uiPriority w:val="99"/>
    <w:semiHidden/>
    <w:unhideWhenUsed/>
    <w:rsid w:val="00A4201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A42015"/>
    <w:rPr>
      <w:sz w:val="16"/>
      <w:szCs w:val="16"/>
    </w:rPr>
  </w:style>
  <w:style w:type="paragraph" w:styleId="Sangra2detindependiente">
    <w:name w:val="Body Text Indent 2"/>
    <w:basedOn w:val="Normal"/>
    <w:link w:val="Sangra2detindependienteCar"/>
    <w:uiPriority w:val="99"/>
    <w:semiHidden/>
    <w:unhideWhenUsed/>
    <w:rsid w:val="00A4201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42015"/>
  </w:style>
  <w:style w:type="paragraph" w:styleId="Textoindependiente3">
    <w:name w:val="Body Text 3"/>
    <w:basedOn w:val="Normal"/>
    <w:link w:val="Textoindependiente3Car"/>
    <w:uiPriority w:val="99"/>
    <w:semiHidden/>
    <w:unhideWhenUsed/>
    <w:rsid w:val="00A4201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42015"/>
    <w:rPr>
      <w:sz w:val="16"/>
      <w:szCs w:val="16"/>
    </w:rPr>
  </w:style>
  <w:style w:type="paragraph" w:styleId="Textoindependiente2">
    <w:name w:val="Body Text 2"/>
    <w:basedOn w:val="Normal"/>
    <w:link w:val="Textoindependiente2Car"/>
    <w:uiPriority w:val="99"/>
    <w:semiHidden/>
    <w:unhideWhenUsed/>
    <w:rsid w:val="00A42015"/>
    <w:pPr>
      <w:spacing w:after="120" w:line="480" w:lineRule="auto"/>
    </w:pPr>
  </w:style>
  <w:style w:type="character" w:customStyle="1" w:styleId="Textoindependiente2Car">
    <w:name w:val="Texto independiente 2 Car"/>
    <w:basedOn w:val="Fuentedeprrafopredeter"/>
    <w:link w:val="Textoindependiente2"/>
    <w:uiPriority w:val="99"/>
    <w:semiHidden/>
    <w:rsid w:val="00A42015"/>
  </w:style>
  <w:style w:type="paragraph" w:styleId="Encabezadodenota">
    <w:name w:val="Note Heading"/>
    <w:basedOn w:val="Normal"/>
    <w:next w:val="Normal"/>
    <w:link w:val="EncabezadodenotaCar"/>
    <w:uiPriority w:val="99"/>
    <w:semiHidden/>
    <w:unhideWhenUsed/>
    <w:rsid w:val="00A42015"/>
    <w:pPr>
      <w:spacing w:after="0" w:line="240" w:lineRule="auto"/>
    </w:pPr>
  </w:style>
  <w:style w:type="character" w:customStyle="1" w:styleId="EncabezadodenotaCar">
    <w:name w:val="Encabezado de nota Car"/>
    <w:basedOn w:val="Fuentedeprrafopredeter"/>
    <w:link w:val="Encabezadodenota"/>
    <w:uiPriority w:val="99"/>
    <w:semiHidden/>
    <w:rsid w:val="00A42015"/>
  </w:style>
  <w:style w:type="paragraph" w:styleId="Sangradetextonormal">
    <w:name w:val="Body Text Indent"/>
    <w:basedOn w:val="Normal"/>
    <w:link w:val="SangradetextonormalCar"/>
    <w:uiPriority w:val="99"/>
    <w:semiHidden/>
    <w:unhideWhenUsed/>
    <w:rsid w:val="00A42015"/>
    <w:pPr>
      <w:spacing w:after="120"/>
      <w:ind w:left="283"/>
    </w:pPr>
  </w:style>
  <w:style w:type="character" w:customStyle="1" w:styleId="SangradetextonormalCar">
    <w:name w:val="Sangría de texto normal Car"/>
    <w:basedOn w:val="Fuentedeprrafopredeter"/>
    <w:link w:val="Sangradetextonormal"/>
    <w:uiPriority w:val="99"/>
    <w:semiHidden/>
    <w:rsid w:val="00A42015"/>
  </w:style>
  <w:style w:type="paragraph" w:styleId="Textoindependienteprimerasangra2">
    <w:name w:val="Body Text First Indent 2"/>
    <w:basedOn w:val="Sangradetextonormal"/>
    <w:link w:val="Textoindependienteprimerasangra2Car"/>
    <w:uiPriority w:val="99"/>
    <w:semiHidden/>
    <w:unhideWhenUsed/>
    <w:rsid w:val="00A42015"/>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42015"/>
  </w:style>
  <w:style w:type="paragraph" w:styleId="Textoindependiente">
    <w:name w:val="Body Text"/>
    <w:basedOn w:val="Normal"/>
    <w:link w:val="TextoindependienteCar"/>
    <w:uiPriority w:val="99"/>
    <w:semiHidden/>
    <w:unhideWhenUsed/>
    <w:rsid w:val="00A42015"/>
    <w:pPr>
      <w:spacing w:after="120"/>
    </w:pPr>
  </w:style>
  <w:style w:type="character" w:customStyle="1" w:styleId="TextoindependienteCar">
    <w:name w:val="Texto independiente Car"/>
    <w:basedOn w:val="Fuentedeprrafopredeter"/>
    <w:link w:val="Textoindependiente"/>
    <w:uiPriority w:val="99"/>
    <w:semiHidden/>
    <w:rsid w:val="00A42015"/>
  </w:style>
  <w:style w:type="paragraph" w:styleId="Textoindependienteprimerasangra">
    <w:name w:val="Body Text First Indent"/>
    <w:basedOn w:val="Textoindependiente"/>
    <w:link w:val="TextoindependienteprimerasangraCar"/>
    <w:uiPriority w:val="99"/>
    <w:semiHidden/>
    <w:unhideWhenUsed/>
    <w:rsid w:val="00A42015"/>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A42015"/>
  </w:style>
  <w:style w:type="paragraph" w:styleId="Fecha">
    <w:name w:val="Date"/>
    <w:basedOn w:val="Normal"/>
    <w:next w:val="Normal"/>
    <w:link w:val="FechaCar"/>
    <w:uiPriority w:val="99"/>
    <w:semiHidden/>
    <w:unhideWhenUsed/>
    <w:rsid w:val="00A42015"/>
  </w:style>
  <w:style w:type="character" w:customStyle="1" w:styleId="FechaCar">
    <w:name w:val="Fecha Car"/>
    <w:basedOn w:val="Fuentedeprrafopredeter"/>
    <w:link w:val="Fecha"/>
    <w:uiPriority w:val="99"/>
    <w:semiHidden/>
    <w:rsid w:val="00A42015"/>
  </w:style>
  <w:style w:type="paragraph" w:styleId="Saludo">
    <w:name w:val="Salutation"/>
    <w:basedOn w:val="Normal"/>
    <w:next w:val="Normal"/>
    <w:link w:val="SaludoCar"/>
    <w:uiPriority w:val="99"/>
    <w:semiHidden/>
    <w:unhideWhenUsed/>
    <w:rsid w:val="00A42015"/>
  </w:style>
  <w:style w:type="character" w:customStyle="1" w:styleId="SaludoCar">
    <w:name w:val="Saludo Car"/>
    <w:basedOn w:val="Fuentedeprrafopredeter"/>
    <w:link w:val="Saludo"/>
    <w:uiPriority w:val="99"/>
    <w:semiHidden/>
    <w:rsid w:val="00A42015"/>
  </w:style>
  <w:style w:type="paragraph" w:styleId="Subttulo">
    <w:name w:val="Subtitle"/>
    <w:basedOn w:val="Normal"/>
    <w:next w:val="Normal"/>
    <w:link w:val="SubttuloCar"/>
    <w:uiPriority w:val="11"/>
    <w:qFormat/>
    <w:rsid w:val="00A42015"/>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A42015"/>
    <w:rPr>
      <w:rFonts w:eastAsiaTheme="minorEastAsia"/>
      <w:color w:val="5A5A5A" w:themeColor="text1" w:themeTint="A5"/>
      <w:spacing w:val="15"/>
    </w:rPr>
  </w:style>
  <w:style w:type="paragraph" w:styleId="Encabezadodemensaje">
    <w:name w:val="Message Header"/>
    <w:basedOn w:val="Normal"/>
    <w:link w:val="EncabezadodemensajeCar"/>
    <w:uiPriority w:val="99"/>
    <w:semiHidden/>
    <w:unhideWhenUsed/>
    <w:rsid w:val="00A4201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semiHidden/>
    <w:rsid w:val="00A42015"/>
    <w:rPr>
      <w:rFonts w:asciiTheme="majorHAnsi" w:eastAsiaTheme="majorEastAsia" w:hAnsiTheme="majorHAnsi" w:cstheme="majorBidi"/>
      <w:sz w:val="24"/>
      <w:szCs w:val="24"/>
      <w:shd w:val="pct20" w:color="auto" w:fill="auto"/>
    </w:rPr>
  </w:style>
  <w:style w:type="paragraph" w:styleId="Continuarlista5">
    <w:name w:val="List Continue 5"/>
    <w:basedOn w:val="Normal"/>
    <w:uiPriority w:val="99"/>
    <w:semiHidden/>
    <w:unhideWhenUsed/>
    <w:rsid w:val="00A42015"/>
    <w:pPr>
      <w:spacing w:after="120"/>
      <w:ind w:left="1415"/>
      <w:contextualSpacing/>
    </w:pPr>
  </w:style>
  <w:style w:type="paragraph" w:styleId="Continuarlista4">
    <w:name w:val="List Continue 4"/>
    <w:basedOn w:val="Normal"/>
    <w:uiPriority w:val="99"/>
    <w:semiHidden/>
    <w:unhideWhenUsed/>
    <w:rsid w:val="00A42015"/>
    <w:pPr>
      <w:spacing w:after="120"/>
      <w:ind w:left="1132"/>
      <w:contextualSpacing/>
    </w:pPr>
  </w:style>
  <w:style w:type="paragraph" w:styleId="Continuarlista3">
    <w:name w:val="List Continue 3"/>
    <w:basedOn w:val="Normal"/>
    <w:uiPriority w:val="99"/>
    <w:semiHidden/>
    <w:unhideWhenUsed/>
    <w:rsid w:val="00A42015"/>
    <w:pPr>
      <w:spacing w:after="120"/>
      <w:ind w:left="849"/>
      <w:contextualSpacing/>
    </w:pPr>
  </w:style>
  <w:style w:type="paragraph" w:styleId="Continuarlista2">
    <w:name w:val="List Continue 2"/>
    <w:basedOn w:val="Normal"/>
    <w:uiPriority w:val="99"/>
    <w:semiHidden/>
    <w:unhideWhenUsed/>
    <w:rsid w:val="00A42015"/>
    <w:pPr>
      <w:spacing w:after="120"/>
      <w:ind w:left="566"/>
      <w:contextualSpacing/>
    </w:pPr>
  </w:style>
  <w:style w:type="paragraph" w:styleId="Continuarlista">
    <w:name w:val="List Continue"/>
    <w:basedOn w:val="Normal"/>
    <w:uiPriority w:val="99"/>
    <w:semiHidden/>
    <w:unhideWhenUsed/>
    <w:rsid w:val="00A42015"/>
    <w:pPr>
      <w:spacing w:after="120"/>
      <w:ind w:left="283"/>
      <w:contextualSpacing/>
    </w:pPr>
  </w:style>
  <w:style w:type="paragraph" w:styleId="Firma">
    <w:name w:val="Signature"/>
    <w:basedOn w:val="Normal"/>
    <w:link w:val="FirmaCar"/>
    <w:uiPriority w:val="99"/>
    <w:semiHidden/>
    <w:unhideWhenUsed/>
    <w:rsid w:val="00A42015"/>
    <w:pPr>
      <w:spacing w:after="0" w:line="240" w:lineRule="auto"/>
      <w:ind w:left="4252"/>
    </w:pPr>
  </w:style>
  <w:style w:type="character" w:customStyle="1" w:styleId="FirmaCar">
    <w:name w:val="Firma Car"/>
    <w:basedOn w:val="Fuentedeprrafopredeter"/>
    <w:link w:val="Firma"/>
    <w:uiPriority w:val="99"/>
    <w:semiHidden/>
    <w:rsid w:val="00A42015"/>
  </w:style>
  <w:style w:type="paragraph" w:styleId="Cierre">
    <w:name w:val="Closing"/>
    <w:basedOn w:val="Normal"/>
    <w:link w:val="CierreCar"/>
    <w:uiPriority w:val="99"/>
    <w:semiHidden/>
    <w:unhideWhenUsed/>
    <w:rsid w:val="00A42015"/>
    <w:pPr>
      <w:spacing w:after="0" w:line="240" w:lineRule="auto"/>
      <w:ind w:left="4252"/>
    </w:pPr>
  </w:style>
  <w:style w:type="character" w:customStyle="1" w:styleId="CierreCar">
    <w:name w:val="Cierre Car"/>
    <w:basedOn w:val="Fuentedeprrafopredeter"/>
    <w:link w:val="Cierre"/>
    <w:uiPriority w:val="99"/>
    <w:semiHidden/>
    <w:rsid w:val="00A42015"/>
  </w:style>
  <w:style w:type="paragraph" w:styleId="Ttulo">
    <w:name w:val="Title"/>
    <w:basedOn w:val="Normal"/>
    <w:next w:val="Normal"/>
    <w:link w:val="TtuloCar"/>
    <w:uiPriority w:val="10"/>
    <w:qFormat/>
    <w:rsid w:val="00A4201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2015"/>
    <w:rPr>
      <w:rFonts w:asciiTheme="majorHAnsi" w:eastAsiaTheme="majorEastAsia" w:hAnsiTheme="majorHAnsi" w:cstheme="majorBidi"/>
      <w:spacing w:val="-10"/>
      <w:kern w:val="28"/>
      <w:sz w:val="56"/>
      <w:szCs w:val="56"/>
    </w:rPr>
  </w:style>
  <w:style w:type="paragraph" w:styleId="Listaconnmeros5">
    <w:name w:val="List Number 5"/>
    <w:basedOn w:val="Normal"/>
    <w:uiPriority w:val="99"/>
    <w:semiHidden/>
    <w:unhideWhenUsed/>
    <w:rsid w:val="00A42015"/>
    <w:pPr>
      <w:numPr>
        <w:numId w:val="15"/>
      </w:numPr>
      <w:contextualSpacing/>
    </w:pPr>
  </w:style>
  <w:style w:type="paragraph" w:styleId="Listaconnmeros4">
    <w:name w:val="List Number 4"/>
    <w:basedOn w:val="Normal"/>
    <w:uiPriority w:val="99"/>
    <w:semiHidden/>
    <w:unhideWhenUsed/>
    <w:rsid w:val="00A42015"/>
    <w:pPr>
      <w:numPr>
        <w:numId w:val="16"/>
      </w:numPr>
      <w:contextualSpacing/>
    </w:pPr>
  </w:style>
  <w:style w:type="paragraph" w:styleId="Listaconnmeros3">
    <w:name w:val="List Number 3"/>
    <w:basedOn w:val="Normal"/>
    <w:uiPriority w:val="99"/>
    <w:semiHidden/>
    <w:unhideWhenUsed/>
    <w:rsid w:val="00A42015"/>
    <w:pPr>
      <w:numPr>
        <w:numId w:val="17"/>
      </w:numPr>
      <w:contextualSpacing/>
    </w:pPr>
  </w:style>
  <w:style w:type="paragraph" w:styleId="Listaconnmeros2">
    <w:name w:val="List Number 2"/>
    <w:basedOn w:val="Normal"/>
    <w:uiPriority w:val="99"/>
    <w:semiHidden/>
    <w:unhideWhenUsed/>
    <w:rsid w:val="00A42015"/>
    <w:pPr>
      <w:numPr>
        <w:numId w:val="18"/>
      </w:numPr>
      <w:contextualSpacing/>
    </w:pPr>
  </w:style>
  <w:style w:type="paragraph" w:styleId="Listaconvietas5">
    <w:name w:val="List Bullet 5"/>
    <w:basedOn w:val="Normal"/>
    <w:uiPriority w:val="99"/>
    <w:semiHidden/>
    <w:unhideWhenUsed/>
    <w:rsid w:val="00A42015"/>
    <w:pPr>
      <w:numPr>
        <w:numId w:val="19"/>
      </w:numPr>
      <w:contextualSpacing/>
    </w:pPr>
  </w:style>
  <w:style w:type="paragraph" w:styleId="Listaconvietas4">
    <w:name w:val="List Bullet 4"/>
    <w:basedOn w:val="Normal"/>
    <w:uiPriority w:val="99"/>
    <w:semiHidden/>
    <w:unhideWhenUsed/>
    <w:rsid w:val="00A42015"/>
    <w:pPr>
      <w:numPr>
        <w:numId w:val="20"/>
      </w:numPr>
      <w:contextualSpacing/>
    </w:pPr>
  </w:style>
  <w:style w:type="paragraph" w:styleId="Listaconvietas3">
    <w:name w:val="List Bullet 3"/>
    <w:basedOn w:val="Normal"/>
    <w:uiPriority w:val="99"/>
    <w:semiHidden/>
    <w:unhideWhenUsed/>
    <w:rsid w:val="00A42015"/>
    <w:pPr>
      <w:numPr>
        <w:numId w:val="21"/>
      </w:numPr>
      <w:contextualSpacing/>
    </w:pPr>
  </w:style>
  <w:style w:type="paragraph" w:styleId="Listaconvietas2">
    <w:name w:val="List Bullet 2"/>
    <w:basedOn w:val="Normal"/>
    <w:uiPriority w:val="99"/>
    <w:semiHidden/>
    <w:unhideWhenUsed/>
    <w:rsid w:val="00A42015"/>
    <w:pPr>
      <w:numPr>
        <w:numId w:val="22"/>
      </w:numPr>
      <w:contextualSpacing/>
    </w:pPr>
  </w:style>
  <w:style w:type="paragraph" w:styleId="Lista5">
    <w:name w:val="List 5"/>
    <w:basedOn w:val="Normal"/>
    <w:uiPriority w:val="99"/>
    <w:semiHidden/>
    <w:unhideWhenUsed/>
    <w:rsid w:val="00A42015"/>
    <w:pPr>
      <w:ind w:left="1415" w:hanging="283"/>
      <w:contextualSpacing/>
    </w:pPr>
  </w:style>
  <w:style w:type="paragraph" w:styleId="Lista4">
    <w:name w:val="List 4"/>
    <w:basedOn w:val="Normal"/>
    <w:uiPriority w:val="99"/>
    <w:semiHidden/>
    <w:unhideWhenUsed/>
    <w:rsid w:val="00A42015"/>
    <w:pPr>
      <w:ind w:left="1132" w:hanging="283"/>
      <w:contextualSpacing/>
    </w:pPr>
  </w:style>
  <w:style w:type="paragraph" w:styleId="Lista3">
    <w:name w:val="List 3"/>
    <w:basedOn w:val="Normal"/>
    <w:uiPriority w:val="99"/>
    <w:semiHidden/>
    <w:unhideWhenUsed/>
    <w:rsid w:val="00A42015"/>
    <w:pPr>
      <w:ind w:left="849" w:hanging="283"/>
      <w:contextualSpacing/>
    </w:pPr>
  </w:style>
  <w:style w:type="paragraph" w:styleId="Lista2">
    <w:name w:val="List 2"/>
    <w:basedOn w:val="Normal"/>
    <w:uiPriority w:val="99"/>
    <w:semiHidden/>
    <w:unhideWhenUsed/>
    <w:rsid w:val="00A42015"/>
    <w:pPr>
      <w:ind w:left="566" w:hanging="283"/>
      <w:contextualSpacing/>
    </w:pPr>
  </w:style>
  <w:style w:type="paragraph" w:styleId="Listaconnmeros">
    <w:name w:val="List Number"/>
    <w:basedOn w:val="Normal"/>
    <w:uiPriority w:val="99"/>
    <w:semiHidden/>
    <w:unhideWhenUsed/>
    <w:rsid w:val="00A42015"/>
    <w:pPr>
      <w:numPr>
        <w:numId w:val="23"/>
      </w:numPr>
      <w:contextualSpacing/>
    </w:pPr>
  </w:style>
  <w:style w:type="paragraph" w:styleId="Listaconvietas">
    <w:name w:val="List Bullet"/>
    <w:basedOn w:val="Normal"/>
    <w:uiPriority w:val="99"/>
    <w:semiHidden/>
    <w:unhideWhenUsed/>
    <w:rsid w:val="00A42015"/>
    <w:pPr>
      <w:numPr>
        <w:numId w:val="24"/>
      </w:numPr>
      <w:contextualSpacing/>
    </w:pPr>
  </w:style>
  <w:style w:type="paragraph" w:styleId="Lista">
    <w:name w:val="List"/>
    <w:basedOn w:val="Normal"/>
    <w:uiPriority w:val="99"/>
    <w:semiHidden/>
    <w:unhideWhenUsed/>
    <w:rsid w:val="00A42015"/>
    <w:pPr>
      <w:ind w:left="283" w:hanging="283"/>
      <w:contextualSpacing/>
    </w:pPr>
  </w:style>
  <w:style w:type="paragraph" w:styleId="Encabezadodelista">
    <w:name w:val="toa heading"/>
    <w:basedOn w:val="Normal"/>
    <w:next w:val="Normal"/>
    <w:uiPriority w:val="99"/>
    <w:semiHidden/>
    <w:unhideWhenUsed/>
    <w:rsid w:val="00A42015"/>
    <w:pPr>
      <w:spacing w:before="120"/>
    </w:pPr>
    <w:rPr>
      <w:rFonts w:asciiTheme="majorHAnsi" w:eastAsiaTheme="majorEastAsia" w:hAnsiTheme="majorHAnsi" w:cstheme="majorBidi"/>
      <w:b/>
      <w:bCs/>
      <w:sz w:val="24"/>
      <w:szCs w:val="24"/>
    </w:rPr>
  </w:style>
  <w:style w:type="paragraph" w:styleId="Textomacro">
    <w:name w:val="macro"/>
    <w:link w:val="TextomacroCar"/>
    <w:uiPriority w:val="99"/>
    <w:semiHidden/>
    <w:unhideWhenUsed/>
    <w:rsid w:val="00A4201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TextomacroCar">
    <w:name w:val="Texto macro Car"/>
    <w:basedOn w:val="Fuentedeprrafopredeter"/>
    <w:link w:val="Textomacro"/>
    <w:uiPriority w:val="99"/>
    <w:semiHidden/>
    <w:rsid w:val="00A42015"/>
    <w:rPr>
      <w:rFonts w:ascii="Consolas" w:hAnsi="Consolas"/>
      <w:sz w:val="20"/>
      <w:szCs w:val="20"/>
    </w:rPr>
  </w:style>
  <w:style w:type="paragraph" w:styleId="Textoconsangra">
    <w:name w:val="table of authorities"/>
    <w:basedOn w:val="Normal"/>
    <w:next w:val="Normal"/>
    <w:uiPriority w:val="99"/>
    <w:semiHidden/>
    <w:unhideWhenUsed/>
    <w:rsid w:val="00A42015"/>
    <w:pPr>
      <w:spacing w:after="0"/>
      <w:ind w:left="220" w:hanging="220"/>
    </w:pPr>
  </w:style>
  <w:style w:type="paragraph" w:styleId="Textonotaalfinal">
    <w:name w:val="endnote text"/>
    <w:basedOn w:val="Normal"/>
    <w:link w:val="TextonotaalfinalCar"/>
    <w:uiPriority w:val="99"/>
    <w:semiHidden/>
    <w:unhideWhenUsed/>
    <w:rsid w:val="00A42015"/>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A42015"/>
    <w:rPr>
      <w:sz w:val="20"/>
      <w:szCs w:val="20"/>
    </w:rPr>
  </w:style>
  <w:style w:type="character" w:styleId="Refdenotaalfinal">
    <w:name w:val="endnote reference"/>
    <w:basedOn w:val="Fuentedeprrafopredeter"/>
    <w:uiPriority w:val="99"/>
    <w:semiHidden/>
    <w:unhideWhenUsed/>
    <w:rsid w:val="00A42015"/>
    <w:rPr>
      <w:vertAlign w:val="superscript"/>
    </w:rPr>
  </w:style>
  <w:style w:type="character" w:styleId="Nmerodepgina">
    <w:name w:val="page number"/>
    <w:basedOn w:val="Fuentedeprrafopredeter"/>
    <w:uiPriority w:val="99"/>
    <w:semiHidden/>
    <w:unhideWhenUsed/>
    <w:rsid w:val="00A42015"/>
  </w:style>
  <w:style w:type="character" w:styleId="Nmerodelnea">
    <w:name w:val="line number"/>
    <w:basedOn w:val="Fuentedeprrafopredeter"/>
    <w:uiPriority w:val="99"/>
    <w:semiHidden/>
    <w:unhideWhenUsed/>
    <w:rsid w:val="00A42015"/>
  </w:style>
  <w:style w:type="character" w:styleId="Refdecomentario">
    <w:name w:val="annotation reference"/>
    <w:basedOn w:val="Fuentedeprrafopredeter"/>
    <w:uiPriority w:val="99"/>
    <w:semiHidden/>
    <w:unhideWhenUsed/>
    <w:rsid w:val="00A42015"/>
    <w:rPr>
      <w:sz w:val="16"/>
      <w:szCs w:val="16"/>
    </w:rPr>
  </w:style>
  <w:style w:type="character" w:styleId="Refdenotaalpie">
    <w:name w:val="footnote reference"/>
    <w:basedOn w:val="Fuentedeprrafopredeter"/>
    <w:uiPriority w:val="99"/>
    <w:semiHidden/>
    <w:unhideWhenUsed/>
    <w:rsid w:val="00A42015"/>
    <w:rPr>
      <w:vertAlign w:val="superscript"/>
    </w:rPr>
  </w:style>
  <w:style w:type="paragraph" w:styleId="Remitedesobre">
    <w:name w:val="envelope return"/>
    <w:basedOn w:val="Normal"/>
    <w:uiPriority w:val="99"/>
    <w:semiHidden/>
    <w:unhideWhenUsed/>
    <w:rsid w:val="00A42015"/>
    <w:pPr>
      <w:spacing w:after="0" w:line="240" w:lineRule="auto"/>
    </w:pPr>
    <w:rPr>
      <w:rFonts w:asciiTheme="majorHAnsi" w:eastAsiaTheme="majorEastAsia" w:hAnsiTheme="majorHAnsi" w:cstheme="majorBidi"/>
      <w:sz w:val="20"/>
      <w:szCs w:val="20"/>
    </w:rPr>
  </w:style>
  <w:style w:type="paragraph" w:styleId="Direccinsobre">
    <w:name w:val="envelope address"/>
    <w:basedOn w:val="Normal"/>
    <w:uiPriority w:val="99"/>
    <w:semiHidden/>
    <w:unhideWhenUsed/>
    <w:rsid w:val="00A4201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ndice1">
    <w:name w:val="index 1"/>
    <w:basedOn w:val="Normal"/>
    <w:next w:val="Normal"/>
    <w:autoRedefine/>
    <w:uiPriority w:val="99"/>
    <w:semiHidden/>
    <w:unhideWhenUsed/>
    <w:rsid w:val="00A42015"/>
    <w:pPr>
      <w:spacing w:after="0" w:line="240" w:lineRule="auto"/>
      <w:ind w:left="220" w:hanging="220"/>
    </w:pPr>
  </w:style>
  <w:style w:type="paragraph" w:styleId="Ttulodendice">
    <w:name w:val="index heading"/>
    <w:basedOn w:val="Normal"/>
    <w:next w:val="ndice1"/>
    <w:uiPriority w:val="99"/>
    <w:semiHidden/>
    <w:unhideWhenUsed/>
    <w:rsid w:val="00A42015"/>
    <w:rPr>
      <w:rFonts w:asciiTheme="majorHAnsi" w:eastAsiaTheme="majorEastAsia" w:hAnsiTheme="majorHAnsi" w:cstheme="majorBidi"/>
      <w:b/>
      <w:bCs/>
    </w:rPr>
  </w:style>
  <w:style w:type="paragraph" w:styleId="Textocomentario">
    <w:name w:val="annotation text"/>
    <w:basedOn w:val="Normal"/>
    <w:link w:val="TextocomentarioCar"/>
    <w:uiPriority w:val="99"/>
    <w:semiHidden/>
    <w:unhideWhenUsed/>
    <w:rsid w:val="00A4201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42015"/>
    <w:rPr>
      <w:sz w:val="20"/>
      <w:szCs w:val="20"/>
    </w:rPr>
  </w:style>
  <w:style w:type="paragraph" w:styleId="Textonotapie">
    <w:name w:val="footnote text"/>
    <w:basedOn w:val="Normal"/>
    <w:link w:val="TextonotapieCar"/>
    <w:uiPriority w:val="99"/>
    <w:semiHidden/>
    <w:unhideWhenUsed/>
    <w:rsid w:val="00A4201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42015"/>
    <w:rPr>
      <w:sz w:val="20"/>
      <w:szCs w:val="20"/>
    </w:rPr>
  </w:style>
  <w:style w:type="paragraph" w:styleId="Sangranormal">
    <w:name w:val="Normal Indent"/>
    <w:basedOn w:val="Normal"/>
    <w:uiPriority w:val="99"/>
    <w:semiHidden/>
    <w:unhideWhenUsed/>
    <w:rsid w:val="00A42015"/>
    <w:pPr>
      <w:ind w:left="720"/>
    </w:pPr>
  </w:style>
  <w:style w:type="paragraph" w:styleId="TDC9">
    <w:name w:val="toc 9"/>
    <w:basedOn w:val="Normal"/>
    <w:next w:val="Normal"/>
    <w:autoRedefine/>
    <w:uiPriority w:val="39"/>
    <w:semiHidden/>
    <w:unhideWhenUsed/>
    <w:rsid w:val="00A42015"/>
    <w:pPr>
      <w:spacing w:after="100"/>
      <w:ind w:left="1760"/>
    </w:pPr>
  </w:style>
  <w:style w:type="paragraph" w:styleId="TDC8">
    <w:name w:val="toc 8"/>
    <w:basedOn w:val="Normal"/>
    <w:next w:val="Normal"/>
    <w:autoRedefine/>
    <w:uiPriority w:val="39"/>
    <w:semiHidden/>
    <w:unhideWhenUsed/>
    <w:rsid w:val="00A42015"/>
    <w:pPr>
      <w:spacing w:after="100"/>
      <w:ind w:left="1540"/>
    </w:pPr>
  </w:style>
  <w:style w:type="paragraph" w:styleId="TDC7">
    <w:name w:val="toc 7"/>
    <w:basedOn w:val="Normal"/>
    <w:next w:val="Normal"/>
    <w:autoRedefine/>
    <w:uiPriority w:val="39"/>
    <w:semiHidden/>
    <w:unhideWhenUsed/>
    <w:rsid w:val="00A42015"/>
    <w:pPr>
      <w:spacing w:after="100"/>
      <w:ind w:left="1320"/>
    </w:pPr>
  </w:style>
  <w:style w:type="paragraph" w:styleId="TDC6">
    <w:name w:val="toc 6"/>
    <w:basedOn w:val="Normal"/>
    <w:next w:val="Normal"/>
    <w:autoRedefine/>
    <w:uiPriority w:val="39"/>
    <w:semiHidden/>
    <w:unhideWhenUsed/>
    <w:rsid w:val="00A42015"/>
    <w:pPr>
      <w:spacing w:after="100"/>
      <w:ind w:left="1100"/>
    </w:pPr>
  </w:style>
  <w:style w:type="paragraph" w:styleId="TDC5">
    <w:name w:val="toc 5"/>
    <w:basedOn w:val="Normal"/>
    <w:next w:val="Normal"/>
    <w:autoRedefine/>
    <w:uiPriority w:val="39"/>
    <w:semiHidden/>
    <w:unhideWhenUsed/>
    <w:rsid w:val="00A42015"/>
    <w:pPr>
      <w:spacing w:after="100"/>
      <w:ind w:left="880"/>
    </w:pPr>
  </w:style>
  <w:style w:type="paragraph" w:styleId="TDC4">
    <w:name w:val="toc 4"/>
    <w:basedOn w:val="Normal"/>
    <w:next w:val="Normal"/>
    <w:autoRedefine/>
    <w:uiPriority w:val="39"/>
    <w:semiHidden/>
    <w:unhideWhenUsed/>
    <w:rsid w:val="00A42015"/>
    <w:pPr>
      <w:spacing w:after="100"/>
      <w:ind w:left="660"/>
    </w:pPr>
  </w:style>
  <w:style w:type="paragraph" w:styleId="ndice9">
    <w:name w:val="index 9"/>
    <w:basedOn w:val="Normal"/>
    <w:next w:val="Normal"/>
    <w:autoRedefine/>
    <w:uiPriority w:val="99"/>
    <w:semiHidden/>
    <w:unhideWhenUsed/>
    <w:rsid w:val="00A42015"/>
    <w:pPr>
      <w:spacing w:after="0" w:line="240" w:lineRule="auto"/>
      <w:ind w:left="1980" w:hanging="220"/>
    </w:pPr>
  </w:style>
  <w:style w:type="paragraph" w:styleId="ndice8">
    <w:name w:val="index 8"/>
    <w:basedOn w:val="Normal"/>
    <w:next w:val="Normal"/>
    <w:autoRedefine/>
    <w:uiPriority w:val="99"/>
    <w:semiHidden/>
    <w:unhideWhenUsed/>
    <w:rsid w:val="00A42015"/>
    <w:pPr>
      <w:spacing w:after="0" w:line="240" w:lineRule="auto"/>
      <w:ind w:left="1760" w:hanging="220"/>
    </w:pPr>
  </w:style>
  <w:style w:type="paragraph" w:styleId="ndice7">
    <w:name w:val="index 7"/>
    <w:basedOn w:val="Normal"/>
    <w:next w:val="Normal"/>
    <w:autoRedefine/>
    <w:uiPriority w:val="99"/>
    <w:semiHidden/>
    <w:unhideWhenUsed/>
    <w:rsid w:val="00A42015"/>
    <w:pPr>
      <w:spacing w:after="0" w:line="240" w:lineRule="auto"/>
      <w:ind w:left="1540" w:hanging="220"/>
    </w:pPr>
  </w:style>
  <w:style w:type="paragraph" w:styleId="ndice6">
    <w:name w:val="index 6"/>
    <w:basedOn w:val="Normal"/>
    <w:next w:val="Normal"/>
    <w:autoRedefine/>
    <w:uiPriority w:val="99"/>
    <w:semiHidden/>
    <w:unhideWhenUsed/>
    <w:rsid w:val="00A42015"/>
    <w:pPr>
      <w:spacing w:after="0" w:line="240" w:lineRule="auto"/>
      <w:ind w:left="1320" w:hanging="220"/>
    </w:pPr>
  </w:style>
  <w:style w:type="paragraph" w:styleId="ndice5">
    <w:name w:val="index 5"/>
    <w:basedOn w:val="Normal"/>
    <w:next w:val="Normal"/>
    <w:autoRedefine/>
    <w:uiPriority w:val="99"/>
    <w:semiHidden/>
    <w:unhideWhenUsed/>
    <w:rsid w:val="00A42015"/>
    <w:pPr>
      <w:spacing w:after="0" w:line="240" w:lineRule="auto"/>
      <w:ind w:left="1100" w:hanging="220"/>
    </w:pPr>
  </w:style>
  <w:style w:type="paragraph" w:styleId="ndice4">
    <w:name w:val="index 4"/>
    <w:basedOn w:val="Normal"/>
    <w:next w:val="Normal"/>
    <w:autoRedefine/>
    <w:uiPriority w:val="99"/>
    <w:semiHidden/>
    <w:unhideWhenUsed/>
    <w:rsid w:val="00A42015"/>
    <w:pPr>
      <w:spacing w:after="0" w:line="240" w:lineRule="auto"/>
      <w:ind w:left="880" w:hanging="220"/>
    </w:pPr>
  </w:style>
  <w:style w:type="paragraph" w:styleId="ndice3">
    <w:name w:val="index 3"/>
    <w:basedOn w:val="Normal"/>
    <w:next w:val="Normal"/>
    <w:autoRedefine/>
    <w:uiPriority w:val="99"/>
    <w:semiHidden/>
    <w:unhideWhenUsed/>
    <w:rsid w:val="00A42015"/>
    <w:pPr>
      <w:spacing w:after="0" w:line="240" w:lineRule="auto"/>
      <w:ind w:left="660" w:hanging="220"/>
    </w:pPr>
  </w:style>
  <w:style w:type="paragraph" w:styleId="ndice2">
    <w:name w:val="index 2"/>
    <w:basedOn w:val="Normal"/>
    <w:next w:val="Normal"/>
    <w:autoRedefine/>
    <w:uiPriority w:val="99"/>
    <w:semiHidden/>
    <w:unhideWhenUsed/>
    <w:rsid w:val="00A42015"/>
    <w:pPr>
      <w:spacing w:after="0" w:line="240" w:lineRule="auto"/>
      <w:ind w:left="440" w:hanging="220"/>
    </w:pPr>
  </w:style>
  <w:style w:type="character" w:styleId="Mencinsinresolver">
    <w:name w:val="Unresolved Mention"/>
    <w:basedOn w:val="Fuentedeprrafopredeter"/>
    <w:uiPriority w:val="99"/>
    <w:semiHidden/>
    <w:unhideWhenUsed/>
    <w:rsid w:val="001B2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63217">
      <w:bodyDiv w:val="1"/>
      <w:marLeft w:val="0"/>
      <w:marRight w:val="0"/>
      <w:marTop w:val="0"/>
      <w:marBottom w:val="0"/>
      <w:divBdr>
        <w:top w:val="none" w:sz="0" w:space="0" w:color="auto"/>
        <w:left w:val="none" w:sz="0" w:space="0" w:color="auto"/>
        <w:bottom w:val="none" w:sz="0" w:space="0" w:color="auto"/>
        <w:right w:val="none" w:sz="0" w:space="0" w:color="auto"/>
      </w:divBdr>
    </w:div>
    <w:div w:id="1244799881">
      <w:bodyDiv w:val="1"/>
      <w:marLeft w:val="0"/>
      <w:marRight w:val="0"/>
      <w:marTop w:val="0"/>
      <w:marBottom w:val="0"/>
      <w:divBdr>
        <w:top w:val="none" w:sz="0" w:space="0" w:color="auto"/>
        <w:left w:val="none" w:sz="0" w:space="0" w:color="auto"/>
        <w:bottom w:val="none" w:sz="0" w:space="0" w:color="auto"/>
        <w:right w:val="none" w:sz="0" w:space="0" w:color="auto"/>
      </w:divBdr>
    </w:div>
    <w:div w:id="13889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B96D87E-B574-4A6E-8153-E60666F393D9}"/>
      </w:docPartPr>
      <w:docPartBody>
        <w:p w:rsidR="00196BF8" w:rsidRDefault="00B3399F">
          <w:r w:rsidRPr="00EE38F8">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99F"/>
    <w:rsid w:val="00196BF8"/>
    <w:rsid w:val="002055B7"/>
    <w:rsid w:val="00B3399F"/>
    <w:rsid w:val="00DF7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3399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EA1B0-3286-4FA6-91AD-016F79E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3336</TotalTime>
  <Pages>16</Pages>
  <Words>37642</Words>
  <Characters>214564</Characters>
  <Application>Microsoft Office Word</Application>
  <DocSecurity>0</DocSecurity>
  <Lines>1788</Lines>
  <Paragraphs>503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CACERES</cp:lastModifiedBy>
  <cp:revision>166</cp:revision>
  <cp:lastPrinted>2022-08-05T03:40:00Z</cp:lastPrinted>
  <dcterms:created xsi:type="dcterms:W3CDTF">2022-05-14T16:02:00Z</dcterms:created>
  <dcterms:modified xsi:type="dcterms:W3CDTF">2025-07-17T04:10:00Z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0aaefc3d-b726-37b0-9ed9-f99d7774ece7</vt:lpwstr>
  </property>
  <property fmtid="{D5CDD505-2E9C-101B-9397-08002B2CF9AE}" pid="24" name="Mendeley Citation Style_1">
    <vt:lpwstr>http://www.zotero.org/styles/apa</vt:lpwstr>
  </property>
  <property fmtid="{D5CDD505-2E9C-101B-9397-08002B2CF9AE}" pid="25" name="CitaviDocumentProperty_28">
    <vt:lpwstr>True</vt:lpwstr>
  </property>
  <property fmtid="{D5CDD505-2E9C-101B-9397-08002B2CF9AE}" pid="26" name="CitaviDocumentProperty_11">
    <vt:lpwstr>Título 1</vt:lpwstr>
  </property>
  <property fmtid="{D5CDD505-2E9C-101B-9397-08002B2CF9AE}" pid="27" name="CitaviDocumentProperty_12">
    <vt:lpwstr>Normal</vt:lpwstr>
  </property>
  <property fmtid="{D5CDD505-2E9C-101B-9397-08002B2CF9AE}" pid="28" name="CitaviDocumentProperty_16">
    <vt:lpwstr>Subtítulo</vt:lpwstr>
  </property>
  <property fmtid="{D5CDD505-2E9C-101B-9397-08002B2CF9AE}" pid="29" name="CitaviDocumentProperty_13">
    <vt:lpwstr>Normal</vt:lpwstr>
  </property>
  <property fmtid="{D5CDD505-2E9C-101B-9397-08002B2CF9AE}" pid="30" name="CitaviDocumentProperty_15">
    <vt:lpwstr>Normal</vt:lpwstr>
  </property>
  <property fmtid="{D5CDD505-2E9C-101B-9397-08002B2CF9AE}" pid="31" name="CitaviDocumentProperty_17">
    <vt:lpwstr>Normal</vt:lpwstr>
  </property>
  <property fmtid="{D5CDD505-2E9C-101B-9397-08002B2CF9AE}" pid="32" name="CitaviDocumentProperty_7">
    <vt:lpwstr>TT-copia</vt:lpwstr>
  </property>
  <property fmtid="{D5CDD505-2E9C-101B-9397-08002B2CF9AE}" pid="33" name="CitaviDocumentProperty_0">
    <vt:lpwstr>81add08b-4150-4ebc-9c16-80f37013fc0a</vt:lpwstr>
  </property>
  <property fmtid="{D5CDD505-2E9C-101B-9397-08002B2CF9AE}" pid="34" name="CitaviDocumentProperty_1">
    <vt:lpwstr>7.0.7.1</vt:lpwstr>
  </property>
  <property fmtid="{D5CDD505-2E9C-101B-9397-08002B2CF9AE}" pid="35" name="CitaviDocumentProperty_6">
    <vt:lpwstr>False</vt:lpwstr>
  </property>
  <property fmtid="{D5CDD505-2E9C-101B-9397-08002B2CF9AE}" pid="36" name="CitaviDocumentProperty_8">
    <vt:lpwstr>C:\Users\Gessi\Documents\Citavi 7\Projects\REVISIONES REALIZADAS\TT-copia.ctv6</vt:lpwstr>
  </property>
</Properties>
</file>